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FF1BB1" w14:textId="4C7E612F" w:rsidR="000D2AF9" w:rsidRPr="001A3FFD" w:rsidRDefault="000D2AF9" w:rsidP="007B4DE2">
      <w:pPr>
        <w:snapToGrid w:val="0"/>
        <w:spacing w:before="120" w:after="120"/>
        <w:ind w:left="-567" w:right="-801" w:hanging="357"/>
        <w:jc w:val="center"/>
        <w:rPr>
          <w:rFonts w:ascii="Verdana" w:eastAsia="Verdana" w:hAnsi="Verdana" w:cs="Verdana"/>
          <w:b/>
          <w:bCs/>
          <w:sz w:val="20"/>
          <w:szCs w:val="20"/>
        </w:rPr>
      </w:pPr>
      <w:r w:rsidRPr="001A3FFD">
        <w:rPr>
          <w:rFonts w:ascii="Verdana" w:eastAsia="Verdana" w:hAnsi="Verdana" w:cs="Verdana"/>
          <w:b/>
          <w:bCs/>
          <w:sz w:val="20"/>
          <w:szCs w:val="20"/>
        </w:rPr>
        <w:t>ESTUDIO DEL SECTOR PARA</w:t>
      </w:r>
      <w:r w:rsidR="00FF25CF">
        <w:rPr>
          <w:rFonts w:ascii="Verdana" w:eastAsia="Verdana" w:hAnsi="Verdana" w:cs="Verdana"/>
          <w:b/>
          <w:bCs/>
          <w:sz w:val="20"/>
          <w:szCs w:val="20"/>
        </w:rPr>
        <w:t xml:space="preserve"> </w:t>
      </w:r>
      <w:r w:rsidR="00AA0989" w:rsidRPr="001A3FFD">
        <w:rPr>
          <w:rFonts w:ascii="Verdana" w:eastAsia="Verdana" w:hAnsi="Verdana" w:cs="Verdana"/>
          <w:b/>
          <w:bCs/>
          <w:sz w:val="20"/>
          <w:szCs w:val="20"/>
        </w:rPr>
        <w:t>CONTRATACIÓN DIRECTA</w:t>
      </w:r>
    </w:p>
    <w:p w14:paraId="54E9A91A" w14:textId="77777777" w:rsidR="000D2AF9" w:rsidRPr="001A3FFD" w:rsidRDefault="000D2AF9" w:rsidP="007B4DE2">
      <w:pPr>
        <w:snapToGrid w:val="0"/>
        <w:ind w:left="-567" w:right="-801"/>
        <w:jc w:val="both"/>
        <w:rPr>
          <w:rFonts w:ascii="Verdana" w:eastAsia="Verdana" w:hAnsi="Verdana" w:cs="Verdana"/>
          <w:b/>
          <w:bCs/>
          <w:sz w:val="20"/>
          <w:szCs w:val="20"/>
        </w:rPr>
      </w:pPr>
    </w:p>
    <w:p w14:paraId="45B1C61F" w14:textId="15D62F84" w:rsidR="00F7644F" w:rsidRPr="001A3FFD" w:rsidRDefault="00F7644F" w:rsidP="00DD2282">
      <w:pPr>
        <w:pStyle w:val="Prrafodelista"/>
        <w:numPr>
          <w:ilvl w:val="0"/>
          <w:numId w:val="4"/>
        </w:numPr>
        <w:snapToGrid w:val="0"/>
        <w:ind w:left="-567" w:right="-801" w:hanging="357"/>
        <w:jc w:val="both"/>
        <w:rPr>
          <w:rFonts w:ascii="Verdana" w:eastAsia="Verdana" w:hAnsi="Verdana" w:cs="Verdana"/>
          <w:b/>
          <w:bCs/>
          <w:sz w:val="20"/>
          <w:szCs w:val="20"/>
        </w:rPr>
      </w:pPr>
      <w:r w:rsidRPr="001A3FFD">
        <w:rPr>
          <w:rFonts w:ascii="Verdana" w:eastAsia="Verdana" w:hAnsi="Verdana" w:cs="Verdana"/>
          <w:b/>
          <w:bCs/>
          <w:sz w:val="20"/>
          <w:szCs w:val="20"/>
        </w:rPr>
        <w:t>INTRODUCCIÓN</w:t>
      </w:r>
    </w:p>
    <w:p w14:paraId="7A276027" w14:textId="08E2C997" w:rsidR="59299D5E" w:rsidRPr="001A3FFD" w:rsidRDefault="59299D5E" w:rsidP="0BE6246B">
      <w:pPr>
        <w:spacing w:before="120" w:after="120"/>
        <w:ind w:left="-567" w:right="-801"/>
        <w:jc w:val="both"/>
        <w:rPr>
          <w:rFonts w:ascii="Verdana" w:eastAsia="Verdana" w:hAnsi="Verdana" w:cs="Verdana"/>
          <w:sz w:val="20"/>
          <w:szCs w:val="20"/>
        </w:rPr>
      </w:pPr>
      <w:r w:rsidRPr="001A3FFD">
        <w:rPr>
          <w:rFonts w:ascii="Verdana" w:eastAsia="Verdana" w:hAnsi="Verdana" w:cs="Verdana"/>
          <w:sz w:val="20"/>
          <w:szCs w:val="20"/>
        </w:rPr>
        <w:t xml:space="preserve">El presente análisis tiene como objetivo realizar un estudio de la oferta y la demanda del sector del bien y/o servicio requerido, permitiendo, entre otros aspectos, conocer sobre su comportamiento en el mercado, tales como: oferentes, demandantes, las condiciones y limitaciones del bien y/o servicio, los precios promedio en el mercado, valor de costos operativos y el valor estimado del procesos de selección; tomado así como referencia el estudio efectuado de los valores suministrados por parte del sector. Lo anterior, con el propósito de que la decisión de compra/adquisición sea adecuada y garantice la satisfacción de la necesidad de la entidad, cumpliendo con los principios De contratación contemplados en la Ley 80 de 1993 y el Decreto 1082 de 2015  </w:t>
      </w:r>
    </w:p>
    <w:p w14:paraId="339F5E0C" w14:textId="2C587652" w:rsidR="00CA174E" w:rsidRPr="001A3FFD" w:rsidRDefault="00E4578A" w:rsidP="007B4DE2">
      <w:pPr>
        <w:spacing w:before="120" w:after="120"/>
        <w:ind w:left="-567" w:right="-801"/>
        <w:jc w:val="both"/>
        <w:rPr>
          <w:rFonts w:ascii="Verdana" w:eastAsia="Verdana" w:hAnsi="Verdana" w:cs="Verdana"/>
          <w:sz w:val="20"/>
          <w:szCs w:val="20"/>
        </w:rPr>
      </w:pPr>
      <w:r w:rsidRPr="001A3FFD">
        <w:rPr>
          <w:rFonts w:ascii="Verdana" w:eastAsia="Verdana" w:hAnsi="Verdana" w:cs="Verdana"/>
          <w:sz w:val="20"/>
          <w:szCs w:val="20"/>
        </w:rPr>
        <w:t>Conforme</w:t>
      </w:r>
      <w:r w:rsidR="00CA174E" w:rsidRPr="001A3FFD">
        <w:rPr>
          <w:rFonts w:ascii="Verdana" w:eastAsia="Verdana" w:hAnsi="Verdana" w:cs="Verdana"/>
          <w:sz w:val="20"/>
          <w:szCs w:val="20"/>
        </w:rPr>
        <w:t xml:space="preserve"> el </w:t>
      </w:r>
      <w:r w:rsidRPr="001A3FFD">
        <w:rPr>
          <w:rFonts w:ascii="Verdana" w:eastAsia="Verdana" w:hAnsi="Verdana" w:cs="Verdana"/>
          <w:sz w:val="20"/>
          <w:szCs w:val="20"/>
        </w:rPr>
        <w:t>a</w:t>
      </w:r>
      <w:r w:rsidR="00CA174E" w:rsidRPr="001A3FFD">
        <w:rPr>
          <w:rFonts w:ascii="Verdana" w:eastAsia="Verdana" w:hAnsi="Verdana" w:cs="Verdana"/>
          <w:sz w:val="20"/>
          <w:szCs w:val="20"/>
        </w:rPr>
        <w:t>rtículo No. 2.2.1.1.1.6.1. del Decreto 1082 de 2015, estableció como deber de las entidades estatales elaborar el análisis de sector durante la etapa de planeación de un proceso de contratación pública. El análisis de sector es el documento que sustenta la toma de decisiones en el Proceso de Contratación y orienta aspectos como la determinación de requisitos habilitantes y técnicos de su proceso, criterios de evaluación de las ofertas, especificaciones del bien, obra o servicio a contratar, posibles riesgos del proceso de contratación, condiciones del mercado, así como otros aspectos relevantes que deban ser tenidos en cuenta para una correcta planeación</w:t>
      </w:r>
      <w:r w:rsidR="0226B585" w:rsidRPr="001A3FFD">
        <w:rPr>
          <w:rFonts w:ascii="Verdana" w:eastAsia="Verdana" w:hAnsi="Verdana" w:cs="Verdana"/>
          <w:sz w:val="20"/>
          <w:szCs w:val="20"/>
        </w:rPr>
        <w:t>.</w:t>
      </w:r>
    </w:p>
    <w:p w14:paraId="0665C6BD" w14:textId="2BF11C56" w:rsidR="0093171F" w:rsidRPr="001A3FFD" w:rsidRDefault="0093171F" w:rsidP="007B4DE2">
      <w:pPr>
        <w:spacing w:before="120" w:after="120"/>
        <w:ind w:left="-567" w:right="-801"/>
        <w:jc w:val="both"/>
        <w:rPr>
          <w:rFonts w:ascii="Verdana" w:eastAsia="Verdana" w:hAnsi="Verdana" w:cs="Verdana"/>
          <w:sz w:val="20"/>
          <w:szCs w:val="20"/>
        </w:rPr>
      </w:pPr>
      <w:r w:rsidRPr="001A3FFD">
        <w:rPr>
          <w:rFonts w:ascii="Verdana" w:eastAsia="Verdana" w:hAnsi="Verdana" w:cs="Verdana"/>
          <w:sz w:val="20"/>
          <w:szCs w:val="20"/>
        </w:rPr>
        <w:t>De acuerdo con lo anterior, el presente documento contiene los resultados del análisis del sector realizados por</w:t>
      </w:r>
      <w:r w:rsidR="3E6F08D7" w:rsidRPr="001A3FFD">
        <w:rPr>
          <w:rFonts w:ascii="Verdana" w:eastAsia="Verdana" w:hAnsi="Verdana" w:cs="Verdana"/>
          <w:sz w:val="20"/>
          <w:szCs w:val="20"/>
        </w:rPr>
        <w:t xml:space="preserve"> la </w:t>
      </w:r>
      <w:r w:rsidRPr="001A3FFD">
        <w:rPr>
          <w:rFonts w:ascii="Verdana" w:eastAsia="Verdana" w:hAnsi="Verdana" w:cs="Verdana"/>
          <w:sz w:val="20"/>
          <w:szCs w:val="20"/>
        </w:rPr>
        <w:t xml:space="preserve">Dirección de Patrimonio y Memoria para implementar las acciones correspondientes </w:t>
      </w:r>
      <w:r w:rsidR="00AA0989" w:rsidRPr="001A3FFD">
        <w:rPr>
          <w:rFonts w:ascii="Verdana" w:eastAsia="Verdana" w:hAnsi="Verdana" w:cs="Verdana"/>
          <w:sz w:val="20"/>
          <w:szCs w:val="20"/>
        </w:rPr>
        <w:t xml:space="preserve">buscando optimizar la </w:t>
      </w:r>
      <w:r w:rsidRPr="001A3FFD">
        <w:rPr>
          <w:rFonts w:ascii="Verdana" w:eastAsia="Verdana" w:hAnsi="Verdana" w:cs="Verdana"/>
          <w:sz w:val="20"/>
          <w:szCs w:val="20"/>
        </w:rPr>
        <w:t>inversión de los recursos públicos en términos de economía, eficiencia y eficacia.</w:t>
      </w:r>
      <w:r w:rsidR="40EED20D" w:rsidRPr="001A3FFD">
        <w:rPr>
          <w:rFonts w:ascii="Verdana" w:eastAsia="Verdana" w:hAnsi="Verdana" w:cs="Verdana"/>
          <w:sz w:val="20"/>
          <w:szCs w:val="20"/>
        </w:rPr>
        <w:t xml:space="preserve"> </w:t>
      </w:r>
    </w:p>
    <w:p w14:paraId="1B346582" w14:textId="36F1CA0C" w:rsidR="5B663D18" w:rsidRPr="001A3FFD" w:rsidRDefault="5B663D18" w:rsidP="00DD2282">
      <w:pPr>
        <w:pStyle w:val="Prrafodelista"/>
        <w:numPr>
          <w:ilvl w:val="0"/>
          <w:numId w:val="4"/>
        </w:numPr>
        <w:ind w:left="-567" w:right="-801" w:hanging="357"/>
        <w:jc w:val="both"/>
        <w:rPr>
          <w:rFonts w:ascii="Verdana" w:eastAsia="Verdana" w:hAnsi="Verdana" w:cs="Verdana"/>
          <w:sz w:val="20"/>
          <w:szCs w:val="20"/>
        </w:rPr>
      </w:pPr>
      <w:r w:rsidRPr="001A3FFD">
        <w:rPr>
          <w:rFonts w:ascii="Verdana" w:eastAsia="Verdana" w:hAnsi="Verdana" w:cs="Verdana"/>
          <w:b/>
          <w:bCs/>
          <w:sz w:val="20"/>
          <w:szCs w:val="20"/>
        </w:rPr>
        <w:t>DEFINICIONES</w:t>
      </w:r>
    </w:p>
    <w:p w14:paraId="0B4EA161" w14:textId="590153CB" w:rsidR="5B663D18" w:rsidRPr="001A3FFD" w:rsidRDefault="5B663D18" w:rsidP="007B4DE2">
      <w:pPr>
        <w:ind w:left="-567" w:right="-801"/>
        <w:jc w:val="both"/>
        <w:rPr>
          <w:rFonts w:ascii="Verdana" w:eastAsia="Verdana" w:hAnsi="Verdana" w:cs="Verdana"/>
          <w:sz w:val="20"/>
          <w:szCs w:val="20"/>
        </w:rPr>
      </w:pPr>
      <w:r w:rsidRPr="001A3FFD">
        <w:rPr>
          <w:rFonts w:ascii="Verdana" w:eastAsia="Verdana" w:hAnsi="Verdana" w:cs="Verdana"/>
          <w:sz w:val="20"/>
          <w:szCs w:val="20"/>
        </w:rPr>
        <w:t>En el marco del presente estudio de sector para la proyección del con</w:t>
      </w:r>
      <w:r w:rsidR="4C609714" w:rsidRPr="001A3FFD">
        <w:rPr>
          <w:rFonts w:ascii="Verdana" w:eastAsia="Verdana" w:hAnsi="Verdana" w:cs="Verdana"/>
          <w:sz w:val="20"/>
          <w:szCs w:val="20"/>
        </w:rPr>
        <w:t xml:space="preserve">trato de apoyo e impulso, </w:t>
      </w:r>
      <w:r w:rsidRPr="001A3FFD">
        <w:rPr>
          <w:rFonts w:ascii="Verdana" w:eastAsia="Verdana" w:hAnsi="Verdana" w:cs="Verdana"/>
          <w:sz w:val="20"/>
          <w:szCs w:val="20"/>
        </w:rPr>
        <w:t>se dan a conocer a continuación el marco de conceptos, siglas y demás que serán utilizadas a lo largo del documento y se encuentren relacionadas con la parte técnica del proceso.</w:t>
      </w:r>
    </w:p>
    <w:p w14:paraId="02476AD0" w14:textId="57912271" w:rsidR="393B7E1B" w:rsidRPr="001A3FFD" w:rsidRDefault="393B7E1B" w:rsidP="007B4DE2">
      <w:pPr>
        <w:ind w:left="-567" w:right="-801"/>
        <w:jc w:val="both"/>
        <w:rPr>
          <w:rFonts w:ascii="Verdana" w:eastAsia="Verdana" w:hAnsi="Verdana" w:cs="Verdana"/>
          <w:sz w:val="20"/>
          <w:szCs w:val="20"/>
        </w:rPr>
      </w:pPr>
    </w:p>
    <w:tbl>
      <w:tblPr>
        <w:tblW w:w="8812"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2402"/>
        <w:gridCol w:w="6410"/>
      </w:tblGrid>
      <w:tr w:rsidR="00A97E37" w:rsidRPr="001A3FFD" w14:paraId="22626F78" w14:textId="77777777" w:rsidTr="36219D16">
        <w:trPr>
          <w:trHeight w:val="300"/>
        </w:trPr>
        <w:tc>
          <w:tcPr>
            <w:tcW w:w="8812" w:type="dxa"/>
            <w:gridSpan w:val="2"/>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548DD4" w:themeFill="text2" w:themeFillTint="99"/>
            <w:tcMar>
              <w:left w:w="90" w:type="dxa"/>
              <w:right w:w="90" w:type="dxa"/>
            </w:tcMar>
            <w:vAlign w:val="center"/>
          </w:tcPr>
          <w:p w14:paraId="009D79D2" w14:textId="220427C6" w:rsidR="5757C95C" w:rsidRPr="001A3FFD" w:rsidRDefault="009E7CDD" w:rsidP="009E7CDD">
            <w:pPr>
              <w:ind w:right="-801"/>
              <w:jc w:val="center"/>
              <w:rPr>
                <w:rFonts w:ascii="Verdana" w:eastAsia="Verdana" w:hAnsi="Verdana" w:cs="Verdana"/>
                <w:sz w:val="20"/>
                <w:szCs w:val="20"/>
              </w:rPr>
            </w:pPr>
            <w:r w:rsidRPr="001A3FFD">
              <w:rPr>
                <w:rFonts w:ascii="Verdana" w:eastAsia="Verdana" w:hAnsi="Verdana" w:cs="Verdana"/>
                <w:sz w:val="20"/>
                <w:szCs w:val="20"/>
              </w:rPr>
              <w:t>DEFINICIONES</w:t>
            </w:r>
          </w:p>
        </w:tc>
      </w:tr>
      <w:tr w:rsidR="00A97E37" w:rsidRPr="001A3FFD" w14:paraId="2EE029C5" w14:textId="77777777" w:rsidTr="009D30B4">
        <w:trPr>
          <w:trHeight w:val="300"/>
        </w:trPr>
        <w:tc>
          <w:tcPr>
            <w:tcW w:w="2402"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tcMar>
              <w:left w:w="90" w:type="dxa"/>
              <w:right w:w="90" w:type="dxa"/>
            </w:tcMar>
            <w:vAlign w:val="center"/>
          </w:tcPr>
          <w:p w14:paraId="55F3A77B" w14:textId="77777777" w:rsidR="00CD3BBA" w:rsidRPr="001A3FFD" w:rsidRDefault="5757C95C" w:rsidP="007B4DE2">
            <w:pPr>
              <w:ind w:right="-801"/>
              <w:jc w:val="both"/>
              <w:rPr>
                <w:rFonts w:ascii="Verdana" w:eastAsia="Verdana" w:hAnsi="Verdana" w:cs="Verdana"/>
                <w:b/>
                <w:bCs/>
                <w:sz w:val="20"/>
                <w:szCs w:val="20"/>
              </w:rPr>
            </w:pPr>
            <w:r w:rsidRPr="001A3FFD">
              <w:rPr>
                <w:rFonts w:ascii="Verdana" w:eastAsia="Verdana" w:hAnsi="Verdana" w:cs="Verdana"/>
                <w:b/>
                <w:bCs/>
                <w:sz w:val="20"/>
                <w:szCs w:val="20"/>
              </w:rPr>
              <w:t xml:space="preserve">Plan Especial de </w:t>
            </w:r>
          </w:p>
          <w:p w14:paraId="2DA8613D" w14:textId="317E50EF" w:rsidR="5757C95C" w:rsidRPr="001A3FFD" w:rsidRDefault="5757C95C" w:rsidP="007B4DE2">
            <w:pPr>
              <w:ind w:right="-801"/>
              <w:jc w:val="both"/>
              <w:rPr>
                <w:rFonts w:ascii="Verdana" w:eastAsia="Verdana" w:hAnsi="Verdana" w:cs="Verdana"/>
                <w:sz w:val="20"/>
                <w:szCs w:val="20"/>
              </w:rPr>
            </w:pPr>
            <w:r w:rsidRPr="001A3FFD">
              <w:rPr>
                <w:rFonts w:ascii="Verdana" w:eastAsia="Verdana" w:hAnsi="Verdana" w:cs="Verdana"/>
                <w:b/>
                <w:bCs/>
                <w:sz w:val="20"/>
                <w:szCs w:val="20"/>
              </w:rPr>
              <w:t>Salvaguardia</w:t>
            </w:r>
          </w:p>
        </w:tc>
        <w:tc>
          <w:tcPr>
            <w:tcW w:w="641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tcMar>
              <w:left w:w="90" w:type="dxa"/>
              <w:right w:w="90" w:type="dxa"/>
            </w:tcMar>
            <w:vAlign w:val="center"/>
          </w:tcPr>
          <w:p w14:paraId="0D1E1A40" w14:textId="02F787CE" w:rsidR="5757C95C" w:rsidRPr="001A3FFD" w:rsidRDefault="5757C95C" w:rsidP="007B4DE2">
            <w:pPr>
              <w:ind w:left="145" w:right="99"/>
              <w:jc w:val="both"/>
              <w:rPr>
                <w:rFonts w:ascii="Verdana" w:eastAsia="Verdana" w:hAnsi="Verdana" w:cs="Verdana"/>
                <w:sz w:val="20"/>
                <w:szCs w:val="20"/>
              </w:rPr>
            </w:pPr>
            <w:r w:rsidRPr="001A3FFD">
              <w:rPr>
                <w:rFonts w:ascii="Verdana" w:eastAsia="Verdana" w:hAnsi="Verdana" w:cs="Verdana"/>
                <w:sz w:val="20"/>
                <w:szCs w:val="20"/>
              </w:rPr>
              <w:t>El Plan Especial de Salvaguardia (PES) es un acuerdo social y administrativo, concebido como un instrumento de gestión del patrimonio cultural de la Nación, mediante el cual se establecen acciones y lineamientos encaminados a garantizar la salvaguardia del PCI.</w:t>
            </w:r>
          </w:p>
        </w:tc>
      </w:tr>
      <w:tr w:rsidR="00A97E37" w:rsidRPr="001A3FFD" w14:paraId="3D3F28EC" w14:textId="77777777" w:rsidTr="009D30B4">
        <w:trPr>
          <w:trHeight w:val="300"/>
        </w:trPr>
        <w:tc>
          <w:tcPr>
            <w:tcW w:w="2402"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tcMar>
              <w:left w:w="90" w:type="dxa"/>
              <w:right w:w="90" w:type="dxa"/>
            </w:tcMar>
            <w:vAlign w:val="center"/>
          </w:tcPr>
          <w:p w14:paraId="136DBA58" w14:textId="77777777" w:rsidR="00CD3BBA" w:rsidRPr="001A3FFD" w:rsidRDefault="009E7CDD" w:rsidP="009E7CDD">
            <w:pPr>
              <w:ind w:right="-801"/>
              <w:jc w:val="both"/>
              <w:rPr>
                <w:rStyle w:val="normaltextrun"/>
                <w:rFonts w:ascii="Verdana" w:eastAsia="Verdana" w:hAnsi="Verdana" w:cs="Verdana"/>
                <w:b/>
                <w:bCs/>
                <w:sz w:val="20"/>
                <w:szCs w:val="20"/>
              </w:rPr>
            </w:pPr>
            <w:r w:rsidRPr="001A3FFD">
              <w:rPr>
                <w:rStyle w:val="normaltextrun"/>
                <w:rFonts w:ascii="Verdana" w:eastAsia="Verdana" w:hAnsi="Verdana" w:cs="Verdana"/>
                <w:b/>
                <w:bCs/>
                <w:sz w:val="20"/>
                <w:szCs w:val="20"/>
              </w:rPr>
              <w:t xml:space="preserve">Patrimonio Cultural </w:t>
            </w:r>
          </w:p>
          <w:p w14:paraId="09BCFD16" w14:textId="7F6CFE89" w:rsidR="009E7CDD" w:rsidRPr="001A3FFD" w:rsidRDefault="009E7CDD" w:rsidP="009E7CDD">
            <w:pPr>
              <w:ind w:right="-801"/>
              <w:jc w:val="both"/>
              <w:rPr>
                <w:rFonts w:ascii="Verdana" w:eastAsia="Verdana" w:hAnsi="Verdana" w:cs="Verdana"/>
                <w:b/>
                <w:bCs/>
                <w:sz w:val="20"/>
                <w:szCs w:val="20"/>
              </w:rPr>
            </w:pPr>
            <w:r w:rsidRPr="001A3FFD">
              <w:rPr>
                <w:rStyle w:val="normaltextrun"/>
                <w:rFonts w:ascii="Verdana" w:eastAsia="Verdana" w:hAnsi="Verdana" w:cs="Verdana"/>
                <w:b/>
                <w:bCs/>
                <w:sz w:val="20"/>
                <w:szCs w:val="20"/>
              </w:rPr>
              <w:t>Inmaterial - PCI</w:t>
            </w:r>
            <w:r w:rsidRPr="001A3FFD">
              <w:rPr>
                <w:rStyle w:val="eop"/>
                <w:rFonts w:ascii="Verdana" w:eastAsia="Verdana" w:hAnsi="Verdana" w:cs="Verdana"/>
                <w:b/>
                <w:bCs/>
                <w:sz w:val="20"/>
                <w:szCs w:val="20"/>
              </w:rPr>
              <w:t> </w:t>
            </w:r>
          </w:p>
        </w:tc>
        <w:tc>
          <w:tcPr>
            <w:tcW w:w="641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tcMar>
              <w:left w:w="90" w:type="dxa"/>
              <w:right w:w="90" w:type="dxa"/>
            </w:tcMar>
            <w:vAlign w:val="center"/>
          </w:tcPr>
          <w:p w14:paraId="3245DD14" w14:textId="6F1A9AEF" w:rsidR="009E7CDD" w:rsidRPr="001A3FFD" w:rsidRDefault="009E7CDD" w:rsidP="009E7CDD">
            <w:pPr>
              <w:ind w:left="145" w:right="99"/>
              <w:jc w:val="both"/>
              <w:rPr>
                <w:rFonts w:ascii="Verdana" w:eastAsia="Verdana" w:hAnsi="Verdana" w:cs="Verdana"/>
                <w:sz w:val="20"/>
                <w:szCs w:val="20"/>
              </w:rPr>
            </w:pPr>
            <w:r w:rsidRPr="001A3FFD">
              <w:rPr>
                <w:rStyle w:val="normaltextrun"/>
                <w:rFonts w:ascii="Verdana" w:eastAsia="Verdana" w:hAnsi="Verdana" w:cs="Verdana"/>
                <w:sz w:val="20"/>
                <w:szCs w:val="20"/>
              </w:rPr>
              <w:t>El patrimonio cultural inmaterial está integrado por los usos, prácticas, representaciones, expresiones, conocimientos y técnicas, junto con los instrumentos, objetos, artefactos, espacios culturales y naturales que les son inherentes, así como por las tradiciones y expresiones orales, incluidas las lenguas, artes del espectáculo, usos sociales, rituales y actos festivos, conocimientos y usos relacionados con la naturaleza y el universo, técnicas artesanales, que las comunidades, los grupos y en algunos casos los individuos reconozcan como parte de su patrimonio cultural. El patrimonio cultural inmaterial incluye a las personas que son creadoras o portadoras de las manifestaciones que lo integran.  </w:t>
            </w:r>
            <w:r w:rsidRPr="001A3FFD">
              <w:rPr>
                <w:rStyle w:val="eop"/>
                <w:rFonts w:ascii="Verdana" w:eastAsia="Verdana" w:hAnsi="Verdana" w:cs="Verdana"/>
                <w:sz w:val="20"/>
                <w:szCs w:val="20"/>
              </w:rPr>
              <w:t> </w:t>
            </w:r>
          </w:p>
        </w:tc>
      </w:tr>
      <w:tr w:rsidR="00A97E37" w:rsidRPr="001A3FFD" w14:paraId="73098BFF" w14:textId="77777777" w:rsidTr="009D30B4">
        <w:trPr>
          <w:trHeight w:val="300"/>
        </w:trPr>
        <w:tc>
          <w:tcPr>
            <w:tcW w:w="2402"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tcMar>
              <w:left w:w="90" w:type="dxa"/>
              <w:right w:w="90" w:type="dxa"/>
            </w:tcMar>
            <w:vAlign w:val="center"/>
          </w:tcPr>
          <w:p w14:paraId="10127919" w14:textId="5ECCCD16" w:rsidR="5757C95C" w:rsidRPr="001A3FFD" w:rsidRDefault="5757C95C" w:rsidP="007B4DE2">
            <w:pPr>
              <w:ind w:right="87"/>
              <w:jc w:val="both"/>
              <w:rPr>
                <w:rFonts w:ascii="Verdana" w:eastAsia="Verdana" w:hAnsi="Verdana" w:cs="Verdana"/>
                <w:b/>
                <w:bCs/>
                <w:sz w:val="20"/>
                <w:szCs w:val="20"/>
              </w:rPr>
            </w:pPr>
            <w:r w:rsidRPr="001A3FFD">
              <w:rPr>
                <w:rFonts w:ascii="Verdana" w:eastAsia="Verdana" w:hAnsi="Verdana" w:cs="Verdana"/>
                <w:b/>
                <w:bCs/>
                <w:sz w:val="20"/>
                <w:szCs w:val="20"/>
              </w:rPr>
              <w:lastRenderedPageBreak/>
              <w:t>Patrimonio Cultural</w:t>
            </w:r>
          </w:p>
        </w:tc>
        <w:tc>
          <w:tcPr>
            <w:tcW w:w="641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tcMar>
              <w:left w:w="90" w:type="dxa"/>
              <w:right w:w="90" w:type="dxa"/>
            </w:tcMar>
            <w:vAlign w:val="center"/>
          </w:tcPr>
          <w:p w14:paraId="23976319" w14:textId="6473931A" w:rsidR="5757C95C" w:rsidRPr="001A3FFD" w:rsidRDefault="5757C95C" w:rsidP="007B4DE2">
            <w:pPr>
              <w:ind w:left="145" w:right="99"/>
              <w:jc w:val="both"/>
              <w:rPr>
                <w:rFonts w:ascii="Verdana" w:eastAsia="Verdana" w:hAnsi="Verdana" w:cs="Verdana"/>
                <w:sz w:val="20"/>
                <w:szCs w:val="20"/>
              </w:rPr>
            </w:pPr>
            <w:r w:rsidRPr="001A3FFD">
              <w:rPr>
                <w:rFonts w:ascii="Verdana" w:eastAsia="Verdana" w:hAnsi="Verdana" w:cs="Verdana"/>
                <w:sz w:val="20"/>
                <w:szCs w:val="20"/>
              </w:rPr>
              <w:t>El patrimonio cultural inmaterial está integrado por los usos, prácticas, representaciones, expresiones, conocimientos y técnicas, junto con los instrumentos, objetos, artefactos, espacios culturales y naturales que les son inherentes, así como por las tradiciones y expresiones orales, incluidas las lenguas, artes del espectáculo, usos sociales, rituales y actos festivos, conocimientos y usos relacionados con la naturaleza y el universo, técnicas artesanales, que las comunidades, los grupos y en algunos casos los individuos reconozcan como parte de su patrimonio cultural. El patrimonio cultural inmaterial incluye a las personas que son creadoras o portadoras de las manifestaciones que lo integran.</w:t>
            </w:r>
          </w:p>
        </w:tc>
      </w:tr>
      <w:tr w:rsidR="00A97E37" w:rsidRPr="001A3FFD" w14:paraId="256730F1" w14:textId="77777777" w:rsidTr="009D30B4">
        <w:trPr>
          <w:trHeight w:val="300"/>
        </w:trPr>
        <w:tc>
          <w:tcPr>
            <w:tcW w:w="2402"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tcMar>
              <w:left w:w="90" w:type="dxa"/>
              <w:right w:w="90" w:type="dxa"/>
            </w:tcMar>
            <w:vAlign w:val="center"/>
          </w:tcPr>
          <w:p w14:paraId="55A91E6F" w14:textId="2A86ED91" w:rsidR="5757C95C" w:rsidRPr="001A3FFD" w:rsidRDefault="5757C95C" w:rsidP="007B4DE2">
            <w:pPr>
              <w:ind w:left="37" w:right="87"/>
              <w:jc w:val="both"/>
              <w:rPr>
                <w:rFonts w:ascii="Verdana" w:eastAsia="Verdana" w:hAnsi="Verdana" w:cs="Verdana"/>
                <w:sz w:val="20"/>
                <w:szCs w:val="20"/>
              </w:rPr>
            </w:pPr>
            <w:r w:rsidRPr="001A3FFD">
              <w:rPr>
                <w:rFonts w:ascii="Verdana" w:eastAsia="Verdana" w:hAnsi="Verdana" w:cs="Verdana"/>
                <w:b/>
                <w:bCs/>
                <w:sz w:val="20"/>
                <w:szCs w:val="20"/>
              </w:rPr>
              <w:t>Manifestación cultural</w:t>
            </w:r>
          </w:p>
        </w:tc>
        <w:tc>
          <w:tcPr>
            <w:tcW w:w="641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tcMar>
              <w:left w:w="90" w:type="dxa"/>
              <w:right w:w="90" w:type="dxa"/>
            </w:tcMar>
            <w:vAlign w:val="center"/>
          </w:tcPr>
          <w:p w14:paraId="44803D4E" w14:textId="222E5F8F" w:rsidR="5757C95C" w:rsidRPr="001A3FFD" w:rsidRDefault="5757C95C" w:rsidP="007B4DE2">
            <w:pPr>
              <w:ind w:left="37" w:right="87"/>
              <w:jc w:val="both"/>
              <w:rPr>
                <w:rFonts w:ascii="Verdana" w:eastAsia="Verdana" w:hAnsi="Verdana" w:cs="Verdana"/>
                <w:sz w:val="20"/>
                <w:szCs w:val="20"/>
              </w:rPr>
            </w:pPr>
            <w:r w:rsidRPr="001A3FFD">
              <w:rPr>
                <w:rFonts w:ascii="Verdana" w:eastAsia="Verdana" w:hAnsi="Verdana" w:cs="Verdana"/>
                <w:sz w:val="20"/>
                <w:szCs w:val="20"/>
              </w:rPr>
              <w:t>“Manifestación cultural” es el término utilizado en la normativa vigente para comprender los diversos tipos de Patrimonio Cultural Inmaterial - PCI.</w:t>
            </w:r>
          </w:p>
        </w:tc>
      </w:tr>
      <w:tr w:rsidR="00A97E37" w:rsidRPr="001A3FFD" w14:paraId="57C5AD03" w14:textId="77777777" w:rsidTr="009D30B4">
        <w:trPr>
          <w:trHeight w:val="300"/>
        </w:trPr>
        <w:tc>
          <w:tcPr>
            <w:tcW w:w="2402"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tcMar>
              <w:left w:w="90" w:type="dxa"/>
              <w:right w:w="90" w:type="dxa"/>
            </w:tcMar>
            <w:vAlign w:val="center"/>
          </w:tcPr>
          <w:p w14:paraId="1387B3AD" w14:textId="753ED3AE" w:rsidR="5757C95C" w:rsidRPr="001A3FFD" w:rsidRDefault="5757C95C" w:rsidP="007B4DE2">
            <w:pPr>
              <w:ind w:left="37" w:right="87"/>
              <w:jc w:val="both"/>
              <w:rPr>
                <w:rFonts w:ascii="Verdana" w:eastAsia="Verdana" w:hAnsi="Verdana" w:cs="Verdana"/>
                <w:sz w:val="20"/>
                <w:szCs w:val="20"/>
              </w:rPr>
            </w:pPr>
            <w:r w:rsidRPr="001A3FFD">
              <w:rPr>
                <w:rFonts w:ascii="Verdana" w:eastAsia="Verdana" w:hAnsi="Verdana" w:cs="Verdana"/>
                <w:b/>
                <w:bCs/>
                <w:sz w:val="20"/>
                <w:szCs w:val="20"/>
              </w:rPr>
              <w:t>Salvaguardia</w:t>
            </w:r>
          </w:p>
        </w:tc>
        <w:tc>
          <w:tcPr>
            <w:tcW w:w="641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tcMar>
              <w:left w:w="90" w:type="dxa"/>
              <w:right w:w="90" w:type="dxa"/>
            </w:tcMar>
            <w:vAlign w:val="center"/>
          </w:tcPr>
          <w:p w14:paraId="395AA927" w14:textId="18383B2B" w:rsidR="5757C95C" w:rsidRPr="001A3FFD" w:rsidRDefault="5757C95C" w:rsidP="36219D16">
            <w:pPr>
              <w:ind w:left="37" w:right="87"/>
              <w:jc w:val="both"/>
              <w:rPr>
                <w:rFonts w:ascii="Verdana" w:eastAsia="Verdana" w:hAnsi="Verdana" w:cs="Verdana"/>
                <w:sz w:val="20"/>
                <w:szCs w:val="20"/>
              </w:rPr>
            </w:pPr>
            <w:r w:rsidRPr="001A3FFD">
              <w:rPr>
                <w:rFonts w:ascii="Verdana" w:eastAsia="Verdana" w:hAnsi="Verdana" w:cs="Verdana"/>
                <w:sz w:val="20"/>
                <w:szCs w:val="20"/>
              </w:rPr>
              <w:t xml:space="preserve">Se entiende por “salvaguardia” las medidas encaminadas a garantizar la viabilidad del patrimonio cultural inmaterial, comprendidas la identificación, documentación, investigación, preservación, protección, promoción, valorización, transmisión -básicamente a través de la enseñanza formal y no </w:t>
            </w:r>
            <w:r w:rsidRPr="001A3FFD">
              <w:rPr>
                <w:rFonts w:ascii="Verdana" w:eastAsiaTheme="minorEastAsia" w:hAnsi="Verdana" w:cstheme="minorBidi"/>
                <w:sz w:val="20"/>
                <w:szCs w:val="20"/>
              </w:rPr>
              <w:t>formal</w:t>
            </w:r>
            <w:r w:rsidRPr="001A3FFD">
              <w:rPr>
                <w:rFonts w:ascii="Verdana" w:eastAsia="Verdana" w:hAnsi="Verdana" w:cs="Verdana"/>
                <w:sz w:val="20"/>
                <w:szCs w:val="20"/>
              </w:rPr>
              <w:t>- y revitalización de este patrimonio en sus distintos aspectos.</w:t>
            </w:r>
          </w:p>
        </w:tc>
      </w:tr>
      <w:tr w:rsidR="00A97E37" w:rsidRPr="001A3FFD" w14:paraId="65172E36" w14:textId="77777777" w:rsidTr="009D30B4">
        <w:trPr>
          <w:trHeight w:val="300"/>
        </w:trPr>
        <w:tc>
          <w:tcPr>
            <w:tcW w:w="2402"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tcMar>
              <w:left w:w="90" w:type="dxa"/>
              <w:right w:w="90" w:type="dxa"/>
            </w:tcMar>
            <w:vAlign w:val="center"/>
          </w:tcPr>
          <w:p w14:paraId="41FC8418" w14:textId="426A01A4" w:rsidR="36219D16" w:rsidRPr="001A3FFD" w:rsidRDefault="36219D16" w:rsidP="36219D16">
            <w:pPr>
              <w:ind w:left="37" w:right="87"/>
              <w:jc w:val="both"/>
              <w:rPr>
                <w:rFonts w:ascii="Verdana" w:eastAsia="Verdana" w:hAnsi="Verdana" w:cs="Verdana"/>
                <w:b/>
                <w:bCs/>
                <w:sz w:val="20"/>
                <w:szCs w:val="20"/>
              </w:rPr>
            </w:pPr>
            <w:r w:rsidRPr="001A3FFD">
              <w:rPr>
                <w:rFonts w:ascii="Verdana" w:eastAsia="Verdana" w:hAnsi="Verdana" w:cs="Verdana"/>
                <w:b/>
                <w:bCs/>
                <w:sz w:val="20"/>
                <w:szCs w:val="20"/>
              </w:rPr>
              <w:t>Inventario de Patrimonio Cultural Inmaterial</w:t>
            </w:r>
          </w:p>
        </w:tc>
        <w:tc>
          <w:tcPr>
            <w:tcW w:w="641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tcMar>
              <w:left w:w="90" w:type="dxa"/>
              <w:right w:w="90" w:type="dxa"/>
            </w:tcMar>
            <w:vAlign w:val="center"/>
          </w:tcPr>
          <w:p w14:paraId="38B7CCDF" w14:textId="18132BF0" w:rsidR="36219D16" w:rsidRPr="001A3FFD" w:rsidRDefault="36219D16" w:rsidP="36219D16">
            <w:pPr>
              <w:ind w:left="37" w:right="87"/>
              <w:jc w:val="both"/>
              <w:rPr>
                <w:rFonts w:ascii="Verdana" w:eastAsia="Verdana" w:hAnsi="Verdana" w:cs="Verdana"/>
                <w:sz w:val="20"/>
                <w:szCs w:val="20"/>
              </w:rPr>
            </w:pPr>
            <w:r w:rsidRPr="001A3FFD">
              <w:rPr>
                <w:rFonts w:ascii="Verdana" w:eastAsia="Verdana" w:hAnsi="Verdana" w:cs="Verdana"/>
                <w:sz w:val="20"/>
                <w:szCs w:val="20"/>
              </w:rPr>
              <w:t>Es un proceso de investigación participativa para la identificación, documentación, diagnóstico, registro y divulgación de las manifestaciones culturales de las comunidades, que incluye medidas para su salvaguardia.</w:t>
            </w:r>
          </w:p>
        </w:tc>
      </w:tr>
      <w:tr w:rsidR="00A97E37" w:rsidRPr="001A3FFD" w14:paraId="1A22D7C4" w14:textId="77777777" w:rsidTr="009D30B4">
        <w:trPr>
          <w:trHeight w:val="300"/>
        </w:trPr>
        <w:tc>
          <w:tcPr>
            <w:tcW w:w="2402"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tcMar>
              <w:left w:w="90" w:type="dxa"/>
              <w:right w:w="90" w:type="dxa"/>
            </w:tcMar>
            <w:vAlign w:val="center"/>
          </w:tcPr>
          <w:p w14:paraId="19247BFE" w14:textId="36113043" w:rsidR="5757C95C" w:rsidRPr="001A3FFD" w:rsidRDefault="5757C95C" w:rsidP="007B4DE2">
            <w:pPr>
              <w:ind w:left="37" w:right="87"/>
              <w:jc w:val="both"/>
              <w:rPr>
                <w:rFonts w:ascii="Verdana" w:eastAsia="Verdana" w:hAnsi="Verdana" w:cs="Verdana"/>
                <w:sz w:val="20"/>
                <w:szCs w:val="20"/>
              </w:rPr>
            </w:pPr>
            <w:r w:rsidRPr="001A3FFD">
              <w:rPr>
                <w:rFonts w:ascii="Verdana" w:eastAsia="Verdana" w:hAnsi="Verdana" w:cs="Verdana"/>
                <w:b/>
                <w:bCs/>
                <w:sz w:val="20"/>
                <w:szCs w:val="20"/>
              </w:rPr>
              <w:t>Lista Representativa de</w:t>
            </w:r>
            <w:r w:rsidR="00CD3BBA" w:rsidRPr="001A3FFD">
              <w:rPr>
                <w:rFonts w:ascii="Verdana" w:eastAsia="Verdana" w:hAnsi="Verdana" w:cs="Verdana"/>
                <w:b/>
                <w:bCs/>
                <w:sz w:val="20"/>
                <w:szCs w:val="20"/>
              </w:rPr>
              <w:t xml:space="preserve"> </w:t>
            </w:r>
            <w:r w:rsidRPr="001A3FFD">
              <w:rPr>
                <w:rFonts w:ascii="Verdana" w:eastAsia="Verdana" w:hAnsi="Verdana" w:cs="Verdana"/>
                <w:b/>
                <w:bCs/>
                <w:sz w:val="20"/>
                <w:szCs w:val="20"/>
              </w:rPr>
              <w:t>Patrimonio Cultural Inmaterial</w:t>
            </w:r>
          </w:p>
        </w:tc>
        <w:tc>
          <w:tcPr>
            <w:tcW w:w="641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tcMar>
              <w:left w:w="90" w:type="dxa"/>
              <w:right w:w="90" w:type="dxa"/>
            </w:tcMar>
            <w:vAlign w:val="center"/>
          </w:tcPr>
          <w:p w14:paraId="73931472" w14:textId="16A41EF2" w:rsidR="5757C95C" w:rsidRPr="001A3FFD" w:rsidRDefault="5757C95C" w:rsidP="007B4DE2">
            <w:pPr>
              <w:ind w:left="37" w:right="87"/>
              <w:jc w:val="both"/>
              <w:rPr>
                <w:rFonts w:ascii="Verdana" w:eastAsia="Verdana" w:hAnsi="Verdana" w:cs="Verdana"/>
                <w:sz w:val="20"/>
                <w:szCs w:val="20"/>
              </w:rPr>
            </w:pPr>
            <w:r w:rsidRPr="001A3FFD">
              <w:rPr>
                <w:rFonts w:ascii="Verdana" w:eastAsia="Verdana" w:hAnsi="Verdana" w:cs="Verdana"/>
                <w:sz w:val="20"/>
                <w:szCs w:val="20"/>
              </w:rPr>
              <w:t>La LRPCI es un registro de información y un instrumento concertado entre las instancias públicas y la comunidad, dirigido a aplicar planes especiales de salvaguardia a las manifestaciones que ingresen en dicha lista. La inclusión de una manifestación en la LRPCI constituye un acto administrativo mediante el cual, previo análisis de los criterios de valoración y procedimiento reglamentados en el Decreto 1080 de 2015, la instancia competente determina si dicha manifestación, dada su significación especial para una comunidad o un determinado grupo social, o en virtud de su nivel de riesgo, requiere la elaboración y la aplicación de un plan especial de salvaguardia.</w:t>
            </w:r>
          </w:p>
        </w:tc>
      </w:tr>
      <w:tr w:rsidR="00D92432" w:rsidRPr="001A3FFD" w14:paraId="6A0916B8" w14:textId="77777777" w:rsidTr="009D30B4">
        <w:trPr>
          <w:trHeight w:val="300"/>
        </w:trPr>
        <w:tc>
          <w:tcPr>
            <w:tcW w:w="2402"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tcMar>
              <w:left w:w="90" w:type="dxa"/>
              <w:right w:w="90" w:type="dxa"/>
            </w:tcMar>
            <w:vAlign w:val="center"/>
          </w:tcPr>
          <w:p w14:paraId="498B8430" w14:textId="6ABF0E61" w:rsidR="5757C95C" w:rsidRPr="001A3FFD" w:rsidRDefault="5757C95C" w:rsidP="007B4DE2">
            <w:pPr>
              <w:ind w:left="37" w:right="305"/>
              <w:jc w:val="both"/>
              <w:rPr>
                <w:rFonts w:ascii="Verdana" w:eastAsia="Verdana" w:hAnsi="Verdana" w:cs="Verdana"/>
                <w:sz w:val="20"/>
                <w:szCs w:val="20"/>
              </w:rPr>
            </w:pPr>
            <w:r w:rsidRPr="001A3FFD">
              <w:rPr>
                <w:rFonts w:ascii="Verdana" w:eastAsia="Verdana" w:hAnsi="Verdana" w:cs="Verdana"/>
                <w:b/>
                <w:bCs/>
                <w:sz w:val="20"/>
                <w:szCs w:val="20"/>
              </w:rPr>
              <w:t>Comunidad portadora</w:t>
            </w:r>
          </w:p>
        </w:tc>
        <w:tc>
          <w:tcPr>
            <w:tcW w:w="6410"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tcMar>
              <w:left w:w="90" w:type="dxa"/>
              <w:right w:w="90" w:type="dxa"/>
            </w:tcMar>
            <w:vAlign w:val="center"/>
          </w:tcPr>
          <w:p w14:paraId="12466E88" w14:textId="73101626" w:rsidR="5757C95C" w:rsidRPr="001A3FFD" w:rsidRDefault="5757C95C" w:rsidP="007B4DE2">
            <w:pPr>
              <w:ind w:right="99"/>
              <w:jc w:val="both"/>
              <w:rPr>
                <w:rFonts w:ascii="Verdana" w:eastAsia="Verdana" w:hAnsi="Verdana" w:cs="Verdana"/>
                <w:sz w:val="20"/>
                <w:szCs w:val="20"/>
              </w:rPr>
            </w:pPr>
            <w:r w:rsidRPr="001A3FFD">
              <w:rPr>
                <w:rFonts w:ascii="Verdana" w:eastAsia="Verdana" w:hAnsi="Verdana" w:cs="Verdana"/>
                <w:sz w:val="20"/>
                <w:szCs w:val="20"/>
              </w:rPr>
              <w:t>Se entiende por comunidad, colectividad o grupo social, portadores, creadores o vinculados, aquellos que consideran una manifestación como propia y como parte de sus referentes culturales.</w:t>
            </w:r>
          </w:p>
        </w:tc>
      </w:tr>
    </w:tbl>
    <w:p w14:paraId="58B677EB" w14:textId="36F1F7DB" w:rsidR="000D2AF9" w:rsidRPr="001A3FFD" w:rsidRDefault="000D2AF9" w:rsidP="007B4DE2">
      <w:pPr>
        <w:ind w:left="-567" w:right="-801"/>
        <w:jc w:val="both"/>
        <w:rPr>
          <w:rFonts w:ascii="Verdana" w:eastAsia="Verdana" w:hAnsi="Verdana" w:cs="Verdana"/>
          <w:b/>
          <w:bCs/>
          <w:sz w:val="20"/>
          <w:szCs w:val="20"/>
        </w:rPr>
      </w:pPr>
    </w:p>
    <w:p w14:paraId="03BC41C4" w14:textId="79DF954A" w:rsidR="5B663D18" w:rsidRPr="001A3FFD" w:rsidRDefault="5B663D18" w:rsidP="007B4DE2">
      <w:pPr>
        <w:ind w:left="-567" w:right="-801"/>
        <w:jc w:val="center"/>
        <w:rPr>
          <w:rFonts w:ascii="Verdana" w:eastAsia="Verdana" w:hAnsi="Verdana" w:cs="Verdana"/>
          <w:i/>
          <w:iCs/>
          <w:sz w:val="20"/>
          <w:szCs w:val="20"/>
        </w:rPr>
      </w:pPr>
      <w:r w:rsidRPr="001A3FFD">
        <w:rPr>
          <w:rFonts w:ascii="Verdana" w:eastAsia="Verdana" w:hAnsi="Verdana" w:cs="Verdana"/>
          <w:i/>
          <w:iCs/>
          <w:sz w:val="20"/>
          <w:szCs w:val="20"/>
        </w:rPr>
        <w:t xml:space="preserve">Fuente: Elaboración </w:t>
      </w:r>
      <w:r w:rsidR="006153CD" w:rsidRPr="001A3FFD">
        <w:rPr>
          <w:rFonts w:ascii="Verdana" w:eastAsia="Verdana" w:hAnsi="Verdana" w:cs="Verdana"/>
          <w:i/>
          <w:iCs/>
          <w:sz w:val="20"/>
          <w:szCs w:val="20"/>
        </w:rPr>
        <w:t>del Ministerio de las Culturas, las Artes y los Saberes.</w:t>
      </w:r>
    </w:p>
    <w:p w14:paraId="6ED78B5C" w14:textId="4FA7D25C" w:rsidR="7C72B711" w:rsidRPr="001A3FFD" w:rsidRDefault="7C72B711" w:rsidP="007B4DE2">
      <w:pPr>
        <w:ind w:left="-567" w:right="-801"/>
        <w:jc w:val="both"/>
        <w:rPr>
          <w:rFonts w:ascii="Verdana" w:eastAsia="Verdana" w:hAnsi="Verdana" w:cs="Verdana"/>
          <w:sz w:val="20"/>
          <w:szCs w:val="20"/>
        </w:rPr>
      </w:pPr>
    </w:p>
    <w:p w14:paraId="012F8F12" w14:textId="56C325F6" w:rsidR="009E7CDD" w:rsidRPr="001A3FFD" w:rsidRDefault="00217B1F" w:rsidP="004A3986">
      <w:pPr>
        <w:pStyle w:val="Prrafodelista"/>
        <w:numPr>
          <w:ilvl w:val="0"/>
          <w:numId w:val="4"/>
        </w:numPr>
        <w:ind w:left="708" w:right="-801" w:hanging="708"/>
        <w:jc w:val="both"/>
        <w:rPr>
          <w:rFonts w:ascii="Verdana" w:eastAsia="Verdana" w:hAnsi="Verdana" w:cs="Verdana"/>
          <w:b/>
          <w:bCs/>
          <w:sz w:val="20"/>
          <w:szCs w:val="20"/>
        </w:rPr>
      </w:pPr>
      <w:r w:rsidRPr="001A3FFD">
        <w:rPr>
          <w:rFonts w:ascii="Verdana" w:eastAsia="Verdana" w:hAnsi="Verdana" w:cs="Verdana"/>
          <w:b/>
          <w:bCs/>
          <w:sz w:val="20"/>
          <w:szCs w:val="20"/>
        </w:rPr>
        <w:t>NECESIDAD</w:t>
      </w:r>
    </w:p>
    <w:p w14:paraId="63AE8565" w14:textId="3BE615AF" w:rsidR="4C9E6630" w:rsidRPr="001A3FFD" w:rsidRDefault="4C9E6630" w:rsidP="3A5C90F6">
      <w:pPr>
        <w:jc w:val="both"/>
        <w:rPr>
          <w:rFonts w:ascii="Verdana" w:eastAsia="Calibri" w:hAnsi="Verdana" w:cs="Calibri"/>
          <w:sz w:val="20"/>
          <w:szCs w:val="20"/>
          <w:lang w:val="es-ES"/>
        </w:rPr>
      </w:pPr>
    </w:p>
    <w:p w14:paraId="5B12E8E7" w14:textId="77777777" w:rsidR="00657C8A" w:rsidRPr="00657C8A" w:rsidRDefault="00657C8A" w:rsidP="00657C8A">
      <w:pPr>
        <w:pStyle w:val="NormalWeb"/>
        <w:ind w:left="-567" w:right="-801"/>
        <w:jc w:val="both"/>
        <w:rPr>
          <w:rFonts w:ascii="Verdana" w:eastAsia="Work Sans" w:hAnsi="Verdana" w:cs="Work Sans"/>
          <w:sz w:val="20"/>
          <w:szCs w:val="20"/>
        </w:rPr>
      </w:pPr>
      <w:r w:rsidRPr="00657C8A">
        <w:rPr>
          <w:rFonts w:ascii="Verdana" w:eastAsia="Work Sans" w:hAnsi="Verdana" w:cs="Work Sans"/>
          <w:color w:val="141414"/>
          <w:sz w:val="20"/>
          <w:szCs w:val="20"/>
        </w:rPr>
        <w:lastRenderedPageBreak/>
        <w:t xml:space="preserve">La Constitución Política establece que el Estado, reconoce y protege la diversidad étnica y cultural de la Nación colombiana, en este entendido se destacan los artículos de la Carta Magna que convergen en la obligatoriedad de prestar el servicio público a las comunidades con los cometidos o fines de este en virtud que se encuentran en el territorio Nacional conforme lo dispone el artículo 2 Constitucional, en los siguientes términos: </w:t>
      </w:r>
    </w:p>
    <w:p w14:paraId="1677440C" w14:textId="77777777" w:rsidR="00657C8A" w:rsidRPr="00657C8A" w:rsidRDefault="00657C8A" w:rsidP="00657C8A">
      <w:pPr>
        <w:pStyle w:val="NormalWeb"/>
        <w:ind w:left="-567" w:right="-801"/>
        <w:jc w:val="both"/>
        <w:rPr>
          <w:rFonts w:ascii="Verdana" w:hAnsi="Verdana"/>
          <w:sz w:val="20"/>
          <w:szCs w:val="20"/>
        </w:rPr>
      </w:pPr>
      <w:r w:rsidRPr="00657C8A">
        <w:rPr>
          <w:rFonts w:ascii="Verdana" w:eastAsia="Work Sans" w:hAnsi="Verdana" w:cs="Work Sans"/>
          <w:color w:val="141414"/>
          <w:sz w:val="20"/>
          <w:szCs w:val="20"/>
        </w:rPr>
        <w:t>El artículo 2 de la Constitución Política, establece como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 Las autoridades de la República están instituidas para proteger a todas las personas residentes en Colombia, en su vida, honra, bienes, creencias, y demás derechos y libertades, y para asegurar el cumplimiento de los deberes sociales del Estado y de los particulares”.</w:t>
      </w:r>
    </w:p>
    <w:p w14:paraId="787A43B7" w14:textId="77777777" w:rsidR="00657C8A" w:rsidRPr="00657C8A" w:rsidRDefault="00657C8A" w:rsidP="00657C8A">
      <w:pPr>
        <w:pStyle w:val="NormalWeb"/>
        <w:ind w:left="-567" w:right="-801"/>
        <w:jc w:val="both"/>
        <w:rPr>
          <w:rFonts w:ascii="Verdana" w:eastAsia="Work Sans" w:hAnsi="Verdana" w:cs="Work Sans"/>
          <w:color w:val="141414"/>
          <w:sz w:val="20"/>
          <w:szCs w:val="20"/>
        </w:rPr>
      </w:pPr>
      <w:r w:rsidRPr="00657C8A">
        <w:rPr>
          <w:rFonts w:ascii="Verdana" w:eastAsia="Work Sans" w:hAnsi="Verdana" w:cs="Work Sans"/>
          <w:color w:val="141414"/>
          <w:sz w:val="20"/>
          <w:szCs w:val="20"/>
        </w:rPr>
        <w:t>Mediante los artículos 7 y 246 de la Constitución Política, el país se reconoce como multilingüe y pluricultural, y declara las funciones del Estado relacionadas con el cuidado de la diversidad étnica y cultural del país. Además, se reconoce la autoridad que tienen los pueblos indígenas para ejercer funciones jurisdiccionales dentro de su ámbito territorial, de conformidad con sus propias normas y procedimientos, así el Estado debe garantizar los derechos al reconocimiento de la identidad cultural de los grupos étnicos, así como potencializar el acervo cultural de estas comunidades, y sus condiciones materiales de existencia, respetando su territorialidad y cosmovisión para el fortalecimiento de su integridad como sujetos colectivos.</w:t>
      </w:r>
    </w:p>
    <w:p w14:paraId="0584CF00" w14:textId="77777777" w:rsidR="00657C8A" w:rsidRPr="00657C8A" w:rsidRDefault="00657C8A" w:rsidP="00657C8A">
      <w:pPr>
        <w:tabs>
          <w:tab w:val="left" w:pos="2925"/>
        </w:tabs>
        <w:ind w:left="-567" w:right="-801"/>
        <w:jc w:val="both"/>
        <w:rPr>
          <w:rFonts w:ascii="Verdana" w:eastAsia="Work Sans" w:hAnsi="Verdana" w:cs="Work Sans"/>
          <w:color w:val="141414"/>
          <w:sz w:val="20"/>
          <w:szCs w:val="20"/>
        </w:rPr>
      </w:pPr>
      <w:r w:rsidRPr="00657C8A">
        <w:rPr>
          <w:rFonts w:ascii="Verdana" w:eastAsia="Work Sans" w:hAnsi="Verdana" w:cs="Work Sans"/>
          <w:color w:val="141414"/>
          <w:sz w:val="20"/>
          <w:szCs w:val="20"/>
        </w:rPr>
        <w:t xml:space="preserve">Los artículos 70 y 71 constitucionales, entre otros, señalan que el Estado tiene el deber de promover el acceso de todos los colombianos a la cultura en igualdad de oportunidades, y de crear incentivos y estímulos para personas e instituciones que desarrollen manifestaciones culturales y ejerzan estas actividades. </w:t>
      </w:r>
    </w:p>
    <w:p w14:paraId="5305EEDE" w14:textId="77777777" w:rsidR="00657C8A" w:rsidRPr="00657C8A" w:rsidRDefault="00657C8A" w:rsidP="00657C8A">
      <w:pPr>
        <w:spacing w:before="202"/>
        <w:ind w:left="-567" w:right="-801"/>
        <w:jc w:val="both"/>
        <w:rPr>
          <w:rFonts w:ascii="Verdana" w:hAnsi="Verdana"/>
          <w:sz w:val="20"/>
          <w:szCs w:val="20"/>
        </w:rPr>
      </w:pPr>
      <w:r w:rsidRPr="00657C8A">
        <w:rPr>
          <w:rFonts w:ascii="Verdana" w:eastAsia="Verdana" w:hAnsi="Verdana" w:cs="Verdana"/>
          <w:sz w:val="20"/>
          <w:szCs w:val="20"/>
          <w:lang w:val="es-ES"/>
        </w:rPr>
        <w:t>Es así como, el ordenamiento de 1991 incorpora una serie de principios y valores que optimizan la administración pública en varios sentidos. Uno de ellos radica en ser garante de los derechos que se reconocen a todos los ciudadanos por su condición de tales, dentro de estos destacan la cultura, las artes y los saberes, la preservación del Patrimonio Cultural de la Nación y el apoyo y el estímulo a las personas, comunidades e instituciones que desarrollen o promuevan las expresiones artísticas y culturales en los ámbitos locales, regionales y nacional.</w:t>
      </w:r>
    </w:p>
    <w:p w14:paraId="25A99982" w14:textId="77777777" w:rsidR="00657C8A" w:rsidRPr="00657C8A" w:rsidRDefault="00657C8A" w:rsidP="00657C8A">
      <w:pPr>
        <w:pStyle w:val="NormalWeb"/>
        <w:spacing w:before="240" w:beforeAutospacing="0" w:after="240" w:afterAutospacing="0"/>
        <w:ind w:left="-567" w:right="-801"/>
        <w:jc w:val="both"/>
        <w:rPr>
          <w:rFonts w:ascii="Verdana" w:eastAsia="Work Sans" w:hAnsi="Verdana" w:cs="Work Sans"/>
          <w:color w:val="141414"/>
          <w:sz w:val="20"/>
          <w:szCs w:val="20"/>
        </w:rPr>
      </w:pPr>
      <w:r w:rsidRPr="00657C8A">
        <w:rPr>
          <w:rFonts w:ascii="Verdana" w:eastAsia="Work Sans" w:hAnsi="Verdana" w:cs="Work Sans"/>
          <w:color w:val="141414"/>
          <w:sz w:val="20"/>
          <w:szCs w:val="20"/>
        </w:rPr>
        <w:t xml:space="preserve">Por otra parte, mediante la Constitución Política de 1991, además de otros mecanismos, Colombia aprobó el </w:t>
      </w:r>
      <w:r w:rsidRPr="00657C8A">
        <w:rPr>
          <w:rFonts w:ascii="Verdana" w:eastAsia="Work Sans" w:hAnsi="Verdana" w:cs="Work Sans"/>
          <w:b/>
          <w:bCs/>
          <w:color w:val="141414"/>
          <w:sz w:val="20"/>
          <w:szCs w:val="20"/>
        </w:rPr>
        <w:t>Convenio 169 de 1989 de la Organización Internacional del Trabajo (OIT)</w:t>
      </w:r>
      <w:r w:rsidRPr="00657C8A">
        <w:rPr>
          <w:rFonts w:ascii="Verdana" w:eastAsia="Work Sans" w:hAnsi="Verdana" w:cs="Work Sans"/>
          <w:color w:val="141414"/>
          <w:sz w:val="20"/>
          <w:szCs w:val="20"/>
        </w:rPr>
        <w:t xml:space="preserve"> sobre Pueblos Indígenas y Tribales en donde se menciona el derecho de los pueblos indígenas a practicar y revitalizar sus tradiciones y costumbres culturales. Lo que también incluye el derecho a mantener, proteger y desarrollar las manifestaciones pasadas, presentes y futuras de sus culturas, como lugares arqueológicos o históricos, utensilios, diseños, ceremonias, tecnologías, artes visuales e interpretativas y literaturas (Art. 11). </w:t>
      </w:r>
      <w:r w:rsidRPr="00657C8A">
        <w:rPr>
          <w:rFonts w:ascii="Verdana" w:eastAsia="Verdana" w:hAnsi="Verdana" w:cs="Verdana"/>
          <w:color w:val="000000" w:themeColor="text1"/>
          <w:sz w:val="20"/>
          <w:szCs w:val="20"/>
        </w:rPr>
        <w:t>En su literal b) del artículo 2°, el convenio adopta el deber del Estado colombiano de desarrollar, con la participación de los pueblos interesados, una acción coordinada y sistemática con miras a promover "</w:t>
      </w:r>
      <w:r w:rsidRPr="00657C8A">
        <w:rPr>
          <w:rFonts w:ascii="Verdana" w:eastAsia="Verdana" w:hAnsi="Verdana" w:cs="Verdana"/>
          <w:i/>
          <w:iCs/>
          <w:color w:val="000000" w:themeColor="text1"/>
          <w:sz w:val="20"/>
          <w:szCs w:val="20"/>
        </w:rPr>
        <w:t>la plena efectividad de los derechos sociales, económicos y culturales de esos pueblos, respetando su identidad social y cultural, sus costumbres y tradiciones, y sus instituciones</w:t>
      </w:r>
      <w:r w:rsidRPr="00657C8A">
        <w:rPr>
          <w:rFonts w:ascii="Verdana" w:eastAsia="Verdana" w:hAnsi="Verdana" w:cs="Verdana"/>
          <w:color w:val="000000" w:themeColor="text1"/>
          <w:sz w:val="20"/>
          <w:szCs w:val="20"/>
        </w:rPr>
        <w:t>"; y adiciona, en su literal a) del artículo 5°, que: "</w:t>
      </w:r>
      <w:r w:rsidRPr="00657C8A">
        <w:rPr>
          <w:rFonts w:ascii="Verdana" w:eastAsia="Verdana" w:hAnsi="Verdana" w:cs="Verdana"/>
          <w:i/>
          <w:iCs/>
          <w:color w:val="000000" w:themeColor="text1"/>
          <w:sz w:val="20"/>
          <w:szCs w:val="20"/>
        </w:rPr>
        <w:t xml:space="preserve">deberán reconocerse y protegerse los valores y prácticas sociales, culturales, religiosos y espirituales propios de dichos </w:t>
      </w:r>
      <w:r w:rsidRPr="00657C8A">
        <w:rPr>
          <w:rFonts w:ascii="Verdana" w:eastAsia="Verdana" w:hAnsi="Verdana" w:cs="Verdana"/>
          <w:i/>
          <w:iCs/>
          <w:color w:val="000000" w:themeColor="text1"/>
          <w:sz w:val="20"/>
          <w:szCs w:val="20"/>
        </w:rPr>
        <w:lastRenderedPageBreak/>
        <w:t>pueblos y deberá tomarse debidamente en consideración la índole de los problemas que se les plantean tanto colectiva como individualmente</w:t>
      </w:r>
      <w:r w:rsidRPr="00657C8A">
        <w:rPr>
          <w:rFonts w:ascii="Verdana" w:eastAsia="Verdana" w:hAnsi="Verdana" w:cs="Verdana"/>
          <w:color w:val="000000" w:themeColor="text1"/>
          <w:sz w:val="20"/>
          <w:szCs w:val="20"/>
        </w:rPr>
        <w:t>".</w:t>
      </w:r>
    </w:p>
    <w:p w14:paraId="7672E86A" w14:textId="77777777" w:rsidR="00657C8A" w:rsidRPr="00657C8A" w:rsidRDefault="00657C8A" w:rsidP="00657C8A">
      <w:pPr>
        <w:spacing w:before="201"/>
        <w:ind w:left="-567" w:right="-801"/>
        <w:jc w:val="both"/>
        <w:rPr>
          <w:rFonts w:ascii="Verdana" w:eastAsia="Work Sans" w:hAnsi="Verdana" w:cs="Work Sans"/>
          <w:sz w:val="20"/>
          <w:szCs w:val="20"/>
          <w:lang w:eastAsia="ar-SA"/>
        </w:rPr>
      </w:pPr>
      <w:r w:rsidRPr="00657C8A">
        <w:rPr>
          <w:rFonts w:ascii="Verdana" w:eastAsia="Work Sans" w:hAnsi="Verdana" w:cs="Work Sans"/>
          <w:color w:val="141414"/>
          <w:sz w:val="20"/>
          <w:szCs w:val="20"/>
        </w:rPr>
        <w:t xml:space="preserve">En consecuencia, se expide la Ley General de Cultura Ley 397 de 1997 </w:t>
      </w:r>
      <w:r w:rsidRPr="00657C8A">
        <w:rPr>
          <w:rFonts w:ascii="Verdana" w:eastAsia="Verdana" w:hAnsi="Verdana" w:cs="Verdana"/>
          <w:sz w:val="20"/>
          <w:szCs w:val="20"/>
          <w:lang w:val="es"/>
        </w:rPr>
        <w:t>que mediante su artículo 66 creó el Ministerio de Cultura y posteriormente, la Ley 2319 de 2023 modifica la denominación a Ministerio de las Culturas, las Artes y los Saberes, como organismo rector de la cultura.</w:t>
      </w:r>
      <w:r w:rsidRPr="00657C8A">
        <w:rPr>
          <w:rFonts w:ascii="Verdana" w:eastAsia="Work Sans" w:hAnsi="Verdana" w:cs="Work Sans"/>
          <w:color w:val="141414"/>
          <w:sz w:val="20"/>
          <w:szCs w:val="20"/>
        </w:rPr>
        <w:t xml:space="preserve"> </w:t>
      </w:r>
    </w:p>
    <w:p w14:paraId="314B22B2" w14:textId="77777777" w:rsidR="00657C8A" w:rsidRPr="00657C8A" w:rsidRDefault="00657C8A" w:rsidP="00657C8A">
      <w:pPr>
        <w:tabs>
          <w:tab w:val="left" w:pos="2925"/>
        </w:tabs>
        <w:spacing w:line="257" w:lineRule="auto"/>
        <w:ind w:left="-567" w:right="-801"/>
        <w:jc w:val="both"/>
        <w:rPr>
          <w:rFonts w:ascii="Verdana" w:hAnsi="Verdana"/>
          <w:sz w:val="20"/>
          <w:szCs w:val="20"/>
        </w:rPr>
      </w:pPr>
      <w:r w:rsidRPr="00657C8A">
        <w:rPr>
          <w:rFonts w:ascii="Verdana" w:eastAsia="Verdana" w:hAnsi="Verdana" w:cs="Verdana"/>
          <w:color w:val="141414"/>
          <w:sz w:val="20"/>
          <w:szCs w:val="20"/>
        </w:rPr>
        <w:t xml:space="preserve">En cumplimiento de los citados preceptos constitucionales, la citada </w:t>
      </w:r>
      <w:r w:rsidRPr="00657C8A">
        <w:rPr>
          <w:rFonts w:ascii="Verdana" w:eastAsia="Verdana" w:hAnsi="Verdana" w:cs="Verdana"/>
          <w:b/>
          <w:bCs/>
          <w:color w:val="141414"/>
          <w:sz w:val="20"/>
          <w:szCs w:val="20"/>
        </w:rPr>
        <w:t xml:space="preserve">Ley 397 de 1997, </w:t>
      </w:r>
      <w:r w:rsidRPr="00657C8A">
        <w:rPr>
          <w:rFonts w:ascii="Verdana" w:eastAsia="Verdana" w:hAnsi="Verdana" w:cs="Verdana"/>
          <w:color w:val="141414"/>
          <w:sz w:val="20"/>
          <w:szCs w:val="20"/>
        </w:rPr>
        <w:t>dispone que el Estado estimulará los procesos, proyectos y actividades culturales en un marco de reconocimiento y respeto por la diversidad y la variedad cultural; y determina que la formulación de la política cultural tendrá en cuenta al creador, al gestor, como receptor de la cultura y garantizará el acceso de los colombianos a las manifestaciones, bienes y servicios culturales en igualdad de oportunidades, concediendo especial tratamiento a personas limitadas física, sensorial y psíquicamente, de la tercera edad, la infancia, y la juventud y los sectores sociales más necesitados.</w:t>
      </w:r>
    </w:p>
    <w:p w14:paraId="2A7EC7A1" w14:textId="77777777" w:rsidR="00657C8A" w:rsidRPr="00657C8A" w:rsidRDefault="00657C8A" w:rsidP="00657C8A">
      <w:pPr>
        <w:pStyle w:val="NormalWeb"/>
        <w:ind w:left="-567" w:right="-801"/>
        <w:jc w:val="both"/>
        <w:rPr>
          <w:rFonts w:ascii="Verdana" w:eastAsia="Work Sans" w:hAnsi="Verdana" w:cs="Work Sans"/>
          <w:color w:val="141414"/>
          <w:sz w:val="20"/>
          <w:szCs w:val="20"/>
        </w:rPr>
      </w:pPr>
      <w:r w:rsidRPr="00657C8A">
        <w:rPr>
          <w:rFonts w:ascii="Verdana" w:eastAsia="Work Sans" w:hAnsi="Verdana" w:cs="Work Sans"/>
          <w:color w:val="141414"/>
          <w:sz w:val="20"/>
          <w:szCs w:val="20"/>
        </w:rPr>
        <w:t>Así, el país ha articulado diversas normas legales y reglamentarias de profunda incidencia para el desarrollo de los sectores creativos y culturales, y del mismo modo ha construido y puesto en marcha múltiples mecanismos de estímulo económico y tributario, a la vez que ha regulado diversidad de acciones intersectoriales en función de activar estos sectores de incidencia social y económica, y de promover el ejercicio de los derechos culturales considerados de naturaleza fundamental, colectiva y social.</w:t>
      </w:r>
    </w:p>
    <w:p w14:paraId="5CBD3178" w14:textId="77777777" w:rsidR="00657C8A" w:rsidRPr="00657C8A" w:rsidRDefault="00657C8A" w:rsidP="00657C8A">
      <w:pPr>
        <w:pStyle w:val="NormalWeb"/>
        <w:ind w:left="-567" w:right="-801"/>
        <w:jc w:val="both"/>
        <w:rPr>
          <w:rFonts w:ascii="Verdana" w:eastAsia="Work Sans" w:hAnsi="Verdana" w:cs="Work Sans"/>
          <w:color w:val="141414"/>
          <w:sz w:val="20"/>
          <w:szCs w:val="20"/>
        </w:rPr>
      </w:pPr>
      <w:r w:rsidRPr="00657C8A">
        <w:rPr>
          <w:rFonts w:ascii="Verdana" w:eastAsia="Work Sans" w:hAnsi="Verdana" w:cs="Work Sans"/>
          <w:color w:val="141414"/>
          <w:sz w:val="20"/>
          <w:szCs w:val="20"/>
        </w:rPr>
        <w:t>Varias Sentencias de la Corte Constitucional se refieren también al reconocimiento y protección de la diversidad étnica y cultural, entre ellas están: T-342 de 1994, T-007 de 1995, SU-039 de 1997, SU-510 de 1998, T- 652 de 1998, y T-652 de 1998, T-025 de 2004 y los Autos referidos a los grupos étnicos, por ejemplo, Auto 004 de 2009 (Pueblos Indígenas).</w:t>
      </w:r>
    </w:p>
    <w:p w14:paraId="611FBB75" w14:textId="77777777" w:rsidR="00657C8A" w:rsidRPr="00657C8A" w:rsidRDefault="00657C8A" w:rsidP="00657C8A">
      <w:pPr>
        <w:pStyle w:val="NormalWeb"/>
        <w:ind w:left="-567" w:right="-801"/>
        <w:jc w:val="both"/>
        <w:rPr>
          <w:rFonts w:ascii="Verdana" w:eastAsia="Work Sans" w:hAnsi="Verdana" w:cs="Work Sans"/>
          <w:sz w:val="20"/>
          <w:szCs w:val="20"/>
        </w:rPr>
      </w:pPr>
      <w:r w:rsidRPr="00657C8A">
        <w:rPr>
          <w:rFonts w:ascii="Verdana" w:eastAsia="Work Sans" w:hAnsi="Verdana" w:cs="Work Sans"/>
          <w:sz w:val="20"/>
          <w:szCs w:val="20"/>
        </w:rPr>
        <w:t>De esta manera, el país ha venido avanzando en el diseño de políticas fundamentadas en el reconocimiento de la diferenciación sociocultural, el fortalecimiento de la autodeterminación y el autorreconocimiento desde un enfoque de derechos para la atención diferencial que contribuye a eliminar las formas de discriminación y de origen racial como causales de las barreras de acceso a las oportunidades de desarrollo.  No obstante, persisten condiciones particulares que constituyen barreras al mejoramiento de las condiciones de bienestar de dichos grupos, por lo que el ejercicio efectivo de derechos colectivos e individuales demanda acciones diferenciadas que generen condiciones de equidad en el acceso a bienes y servicios para avanzar en la inclusión social, cultural y económica de manera sustentable. Estas acciones afirmativas repercutirán positivamente en la superación de la discriminación y así garantizarán que los grupos étnicos cuenten con igualdad de oportunidades frente al resto de colombianos.</w:t>
      </w:r>
    </w:p>
    <w:p w14:paraId="196762CE" w14:textId="77777777" w:rsidR="00657C8A" w:rsidRPr="00657C8A" w:rsidRDefault="00657C8A" w:rsidP="00657C8A">
      <w:pPr>
        <w:pStyle w:val="NormalWeb"/>
        <w:ind w:left="-567" w:right="-801"/>
        <w:jc w:val="both"/>
        <w:rPr>
          <w:rFonts w:ascii="Verdana" w:eastAsia="Work Sans" w:hAnsi="Verdana" w:cs="Work Sans"/>
          <w:sz w:val="20"/>
          <w:szCs w:val="20"/>
        </w:rPr>
      </w:pPr>
      <w:r w:rsidRPr="00657C8A">
        <w:rPr>
          <w:rFonts w:ascii="Verdana" w:eastAsia="Work Sans" w:hAnsi="Verdana" w:cs="Work Sans"/>
          <w:sz w:val="20"/>
          <w:szCs w:val="20"/>
        </w:rPr>
        <w:t xml:space="preserve">Es por ello, que en el </w:t>
      </w:r>
      <w:r w:rsidRPr="00657C8A">
        <w:rPr>
          <w:rFonts w:ascii="Verdana" w:eastAsia="Work Sans" w:hAnsi="Verdana" w:cs="Work Sans"/>
          <w:b/>
          <w:bCs/>
          <w:sz w:val="20"/>
          <w:szCs w:val="20"/>
        </w:rPr>
        <w:t>Plan Nacional de Desarrollo 2022-2026  "Colombia Potencia Mundial de la Vida"</w:t>
      </w:r>
      <w:r w:rsidRPr="00657C8A">
        <w:rPr>
          <w:rFonts w:ascii="Verdana" w:eastAsia="Work Sans" w:hAnsi="Verdana" w:cs="Work Sans"/>
          <w:sz w:val="20"/>
          <w:szCs w:val="20"/>
        </w:rPr>
        <w:t xml:space="preserve">, tiene como objetivo sentar las bases para que el país se convierta en un líder de la protección de la vida a partir de la construcción de un nuevo contrato social que propicie la superación de injusticias y exclusiones históricas, la no repetición del conflicto, el cambio de nuestro relacionamiento con el ambiente y una transformación productiva sustentada en el conocimiento y en armonía con la naturaleza. </w:t>
      </w:r>
    </w:p>
    <w:p w14:paraId="2E463082" w14:textId="77777777" w:rsidR="00657C8A" w:rsidRPr="00657C8A" w:rsidRDefault="00657C8A" w:rsidP="00657C8A">
      <w:pPr>
        <w:pStyle w:val="NormalWeb"/>
        <w:ind w:left="-567" w:right="-801"/>
        <w:jc w:val="both"/>
        <w:rPr>
          <w:rFonts w:ascii="Verdana" w:eastAsia="Work Sans" w:hAnsi="Verdana" w:cs="Work Sans"/>
          <w:b/>
          <w:bCs/>
          <w:i/>
          <w:iCs/>
          <w:sz w:val="20"/>
          <w:szCs w:val="20"/>
          <w:highlight w:val="yellow"/>
        </w:rPr>
      </w:pPr>
      <w:r w:rsidRPr="00657C8A">
        <w:rPr>
          <w:rFonts w:ascii="Verdana" w:eastAsia="Work Sans" w:hAnsi="Verdana" w:cs="Work Sans"/>
          <w:sz w:val="20"/>
          <w:szCs w:val="20"/>
        </w:rPr>
        <w:t>El</w:t>
      </w:r>
      <w:r w:rsidRPr="00657C8A">
        <w:rPr>
          <w:rFonts w:ascii="Verdana" w:hAnsi="Verdana"/>
          <w:sz w:val="20"/>
          <w:szCs w:val="20"/>
        </w:rPr>
        <w:t xml:space="preserve"> </w:t>
      </w:r>
      <w:r w:rsidRPr="00657C8A">
        <w:rPr>
          <w:rFonts w:ascii="Verdana" w:eastAsia="Work Sans" w:hAnsi="Verdana" w:cs="Work Sans"/>
          <w:sz w:val="20"/>
          <w:szCs w:val="20"/>
        </w:rPr>
        <w:t xml:space="preserve">Artículo 2° consagra como parte integral del Plan Nacional de Desarrollo las </w:t>
      </w:r>
      <w:r w:rsidRPr="00657C8A">
        <w:rPr>
          <w:rFonts w:ascii="Verdana" w:eastAsia="Work Sans" w:hAnsi="Verdana" w:cs="Work Sans"/>
          <w:b/>
          <w:bCs/>
          <w:sz w:val="20"/>
          <w:szCs w:val="20"/>
        </w:rPr>
        <w:t>"Bases”</w:t>
      </w:r>
      <w:r w:rsidRPr="00657C8A">
        <w:rPr>
          <w:rFonts w:ascii="Verdana" w:eastAsia="Work Sans" w:hAnsi="Verdana" w:cs="Work Sans"/>
          <w:sz w:val="20"/>
          <w:szCs w:val="20"/>
        </w:rPr>
        <w:t xml:space="preserve"> dentro de las cuales encontramos:</w:t>
      </w:r>
      <w:r w:rsidRPr="00657C8A">
        <w:rPr>
          <w:rFonts w:ascii="Verdana" w:eastAsia="Work Sans" w:hAnsi="Verdana" w:cs="Work Sans"/>
          <w:b/>
          <w:bCs/>
          <w:sz w:val="20"/>
          <w:szCs w:val="20"/>
        </w:rPr>
        <w:t xml:space="preserve"> b. Reconocimiento, salvaguardia y fomento de la memoria viva, el </w:t>
      </w:r>
      <w:r w:rsidRPr="00657C8A">
        <w:rPr>
          <w:rFonts w:ascii="Verdana" w:eastAsia="Work Sans" w:hAnsi="Verdana" w:cs="Work Sans"/>
          <w:b/>
          <w:bCs/>
          <w:sz w:val="20"/>
          <w:szCs w:val="20"/>
        </w:rPr>
        <w:lastRenderedPageBreak/>
        <w:t>patrimonio, las culturas y los saberes.</w:t>
      </w:r>
      <w:r w:rsidRPr="00657C8A">
        <w:rPr>
          <w:rFonts w:ascii="Verdana" w:eastAsia="Work Sans" w:hAnsi="Verdana" w:cs="Work Sans"/>
          <w:sz w:val="20"/>
          <w:szCs w:val="20"/>
        </w:rPr>
        <w:t xml:space="preserve"> Se salvaguardarán los oficios, prácticas y saberes colectivos de las comunidades, grupos étnicos y lugares de memoria. Se fortalecerán los procesos de formación, investigación, valoración, protección y divulgación del patrimonio arqueológico, urbano, museológico, audiovisual, bibliográfico, archivístico y lingüístico. Se identificarán, fortalecerán y promoverán, junto con las comunidades y grupos étnicos, los conocimientos, prácticas y saberes, que puedan ser objeto de apropiación social para la mitigación del cambio climático y la protección de la biodiversidad. Se fortalecerán los patrimonios vivos como motores del desarrollo sostenible, centrado en las comunidades que los habitan mediante la generación de acciones que mitiguen los impactos de la urbanización contemporánea a través de la defensa y dignificación de la vida y del cuidado del medio ambiente. Con el fin de asegurar la preservación de los Bienes de Interés Cultural (BIC) y la apropiación social de su valor cultural, se definirán lineamientos que permitan mejorar los procesos de enajenación de estos bienes y garanticen su preservación; adicionalmente, en el caso de bienes que pudieran ser reconocidos como Bienes de Interés Cultural – BIC, se establecerán mecanismos orientados a su protección en tanto se surte su respectivo proceso de declaratoria.</w:t>
      </w:r>
      <w:r w:rsidRPr="00657C8A">
        <w:rPr>
          <w:rFonts w:ascii="Verdana" w:eastAsia="Work Sans" w:hAnsi="Verdana" w:cs="Work Sans"/>
          <w:b/>
          <w:bCs/>
          <w:sz w:val="20"/>
          <w:szCs w:val="20"/>
        </w:rPr>
        <w:t xml:space="preserve"> </w:t>
      </w:r>
      <w:r w:rsidRPr="00657C8A">
        <w:rPr>
          <w:rFonts w:ascii="Verdana" w:eastAsia="Work Sans" w:hAnsi="Verdana" w:cs="Work Sans"/>
          <w:sz w:val="20"/>
          <w:szCs w:val="20"/>
        </w:rPr>
        <w:t>c. Fomento y estímulos a las culturas, las artes y los saberes: Se ampliarán las oportunidades de participación y acceso de todas las regiones del país, las organizaciones culturales y sociales en los territorios, las zonas rurales y aquellas que históricamente han tenido dificultades para acceder a la oferta de convocatorias públicas para la cofinanciación de proyectos e iniciativas artísticas y culturales, para lo cual se incorporarán nuevos enfoques y metodologías que faciliten la participación y acceso a los recursos destinados a convocatorias públicas y a los programas nacionales de concertación cultural y estímulos. En articulación entre los sectores de cultura y educación se garantizará el acceso a las artes, los saberes y la cultura, a través de procesos de educación y formación que vinculen a las a los niños, niñas, adolescentes y jóvenes, comunidades étnicas, y los diversos grupos poblacionales. Adicionalmente, se promoverá el trabajo asociativo de colectivos y agrupaciones artísticas y se generarán diferentes espacios e instrumentos a través de un sistema nacional que facilite la circulación nacional e internacional de las creaciones artísticas y culturales. Para lograr que Colombia sea una sociedad del conocimiento, se trabajará por planes y programas que fomenten la lectura y la escritura desde la primera infancia. Se promoverá la creación, circulación, salvaguarda, preservación y promoción de obras colombianas cinematográficas, audiovisuales, sonoras y de medios interactivos, con enfoque poblacional, étnico y de género, que contribuyan al desarrollo integral de una cultura de paz</w:t>
      </w:r>
      <w:r w:rsidRPr="00657C8A">
        <w:rPr>
          <w:rFonts w:ascii="Verdana" w:hAnsi="Verdana"/>
          <w:sz w:val="20"/>
          <w:szCs w:val="20"/>
        </w:rPr>
        <w:t>.</w:t>
      </w:r>
    </w:p>
    <w:p w14:paraId="55BFC37E" w14:textId="77777777" w:rsidR="00657C8A" w:rsidRPr="00657C8A" w:rsidRDefault="00657C8A" w:rsidP="00657C8A">
      <w:pPr>
        <w:pStyle w:val="NormalWeb"/>
        <w:ind w:left="-567" w:right="-801"/>
        <w:jc w:val="both"/>
        <w:rPr>
          <w:rFonts w:ascii="Verdana" w:eastAsia="Work Sans" w:hAnsi="Verdana" w:cs="Work Sans"/>
          <w:sz w:val="20"/>
          <w:szCs w:val="20"/>
        </w:rPr>
      </w:pPr>
      <w:r w:rsidRPr="00657C8A">
        <w:rPr>
          <w:rFonts w:ascii="Verdana" w:eastAsia="Work Sans" w:hAnsi="Verdana" w:cs="Work Sans"/>
          <w:sz w:val="20"/>
          <w:szCs w:val="20"/>
        </w:rPr>
        <w:t>Al ser el Ministerio de las Culturas, las Artes y los Saberes es la entidad rectora del sector cultural colombiano y tiene como objetivo formular, coordinar, ejecutar y vigilar la política del Estado en materia cultural, recreativa y de aprovechamiento del tiempo libre. Bajo este contexto, el Ministerio de las Culturas, las Artes y los Saberes deberá propender por una Colombia creativa y responsable de su memoria, donde todos los ciudadanos sean capaces de interactuar y cooperar con oportunidades de creación, disfrute de las expresiones culturales, deportivas, recreativas y de aprovechamiento del tiempo libre en condiciones de equidad y respeto por la diversidad.</w:t>
      </w:r>
    </w:p>
    <w:p w14:paraId="38BB9190" w14:textId="77777777" w:rsidR="00657C8A" w:rsidRPr="00657C8A" w:rsidRDefault="00657C8A" w:rsidP="00657C8A">
      <w:pPr>
        <w:ind w:left="-567" w:right="-801"/>
        <w:jc w:val="both"/>
        <w:rPr>
          <w:rFonts w:ascii="Verdana" w:eastAsia="Work Sans" w:hAnsi="Verdana" w:cs="Work Sans"/>
          <w:sz w:val="20"/>
          <w:szCs w:val="20"/>
        </w:rPr>
      </w:pPr>
      <w:r w:rsidRPr="00657C8A">
        <w:rPr>
          <w:rFonts w:ascii="Verdana" w:eastAsia="Verdana" w:hAnsi="Verdana" w:cs="Verdana"/>
          <w:sz w:val="20"/>
          <w:szCs w:val="20"/>
        </w:rPr>
        <w:t xml:space="preserve">Bajo este marco, el Ministerio de las Culturas, las Artes </w:t>
      </w:r>
      <w:r w:rsidRPr="00657C8A">
        <w:rPr>
          <w:rFonts w:ascii="Verdana" w:eastAsia="Verdana" w:hAnsi="Verdana" w:cs="Verdana"/>
          <w:sz w:val="20"/>
          <w:szCs w:val="20"/>
          <w:lang w:val="es"/>
        </w:rPr>
        <w:t>y los Saberes como rector de la Política Publica de cultura adoptó e</w:t>
      </w:r>
      <w:r w:rsidRPr="00657C8A">
        <w:rPr>
          <w:rFonts w:ascii="Verdana" w:eastAsia="Work Sans" w:hAnsi="Verdana" w:cs="Work Sans"/>
          <w:sz w:val="20"/>
          <w:szCs w:val="20"/>
        </w:rPr>
        <w:t xml:space="preserve">l </w:t>
      </w:r>
      <w:r w:rsidRPr="00657C8A">
        <w:rPr>
          <w:rFonts w:ascii="Verdana" w:eastAsia="Work Sans" w:hAnsi="Verdana" w:cs="Work Sans"/>
          <w:b/>
          <w:bCs/>
          <w:sz w:val="20"/>
          <w:szCs w:val="20"/>
        </w:rPr>
        <w:t>Decreto 2120 del 15 de noviembre de 2018, establece las funciones de la Dirección de Patrimonio y Memoria</w:t>
      </w:r>
      <w:r w:rsidRPr="00657C8A">
        <w:rPr>
          <w:rFonts w:ascii="Verdana" w:eastAsia="Work Sans" w:hAnsi="Verdana" w:cs="Work Sans"/>
          <w:sz w:val="20"/>
          <w:szCs w:val="20"/>
        </w:rPr>
        <w:t xml:space="preserve">, entre las cuales se encuentran: “2. Elaborar, ejecutar y controlar los planes, programas y proyectos, tendientes a la salvaguardia, conservación, restauración y rehabilitación del patrimonio cultural del país.” “3. Elaborar, ejecutar y controlar los planes, programas y proyectos tendentes a la salvaguardia, conservación, restauración y rehabilitación del patrimonio cultural del país.” “5. Diseñar, desarrollar, implementar y evaluar mecanismos metodológicos y herramientas de fácil manejo para las comunidades, para la identificación, </w:t>
      </w:r>
      <w:r w:rsidRPr="00657C8A">
        <w:rPr>
          <w:rFonts w:ascii="Verdana" w:eastAsia="Work Sans" w:hAnsi="Verdana" w:cs="Work Sans"/>
          <w:sz w:val="20"/>
          <w:szCs w:val="20"/>
        </w:rPr>
        <w:lastRenderedPageBreak/>
        <w:t>investigación, registro, fomento, protección, preservación, intervención y salvaguardia del patrimonio cultural”.</w:t>
      </w:r>
    </w:p>
    <w:p w14:paraId="0ECC2485" w14:textId="77777777" w:rsidR="00657C8A" w:rsidRPr="00657C8A" w:rsidRDefault="00657C8A" w:rsidP="00657C8A">
      <w:pPr>
        <w:ind w:left="-567" w:right="-801"/>
        <w:jc w:val="both"/>
        <w:rPr>
          <w:rFonts w:ascii="Verdana" w:eastAsia="Work Sans" w:hAnsi="Verdana" w:cs="Work Sans"/>
          <w:sz w:val="20"/>
          <w:szCs w:val="20"/>
        </w:rPr>
      </w:pPr>
      <w:r w:rsidRPr="00657C8A">
        <w:rPr>
          <w:rFonts w:ascii="Verdana" w:eastAsia="Work Sans" w:hAnsi="Verdana" w:cs="Work Sans"/>
          <w:sz w:val="20"/>
          <w:szCs w:val="20"/>
        </w:rPr>
        <w:t xml:space="preserve">En este orden de ideas, el Ministerio de las Culturas, las Artes y los Saberes concibe el patrimonio cultural de manera incluyente, diversa y participativa, como una suma de bienes y manifestaciones que abarca un vasto campo de la vida social y está constituida por un complejo conjunto de activos sociales de carácter cultural (material e inmaterial), que le dan a un grupo humano sentido, identidad y pertenencia. </w:t>
      </w:r>
      <w:hyperlink r:id="rId12">
        <w:r w:rsidRPr="00657C8A">
          <w:rPr>
            <w:rStyle w:val="Hipervnculo"/>
            <w:rFonts w:ascii="Verdana" w:eastAsia="Work Sans" w:hAnsi="Verdana" w:cs="Work Sans"/>
            <w:sz w:val="20"/>
            <w:szCs w:val="20"/>
          </w:rPr>
          <w:t>https://patrimonio.mincultura.gov.co/Documents/convencionpolitica%20PCI.pdf</w:t>
        </w:r>
      </w:hyperlink>
      <w:r w:rsidRPr="00657C8A">
        <w:rPr>
          <w:rFonts w:ascii="Verdana" w:eastAsia="Work Sans" w:hAnsi="Verdana" w:cs="Work Sans"/>
          <w:sz w:val="20"/>
          <w:szCs w:val="20"/>
        </w:rPr>
        <w:t xml:space="preserve">  </w:t>
      </w:r>
    </w:p>
    <w:p w14:paraId="48A1C8AD" w14:textId="77777777" w:rsidR="00657C8A" w:rsidRPr="00657C8A" w:rsidRDefault="00657C8A" w:rsidP="00657C8A">
      <w:pPr>
        <w:spacing w:before="240" w:after="240"/>
        <w:ind w:left="-567" w:right="-801"/>
        <w:jc w:val="both"/>
        <w:rPr>
          <w:rFonts w:ascii="Verdana" w:hAnsi="Verdana"/>
          <w:sz w:val="20"/>
          <w:szCs w:val="20"/>
        </w:rPr>
      </w:pPr>
      <w:r w:rsidRPr="00657C8A">
        <w:rPr>
          <w:rFonts w:ascii="Verdana" w:eastAsia="Verdana" w:hAnsi="Verdana" w:cs="Verdana"/>
          <w:sz w:val="20"/>
          <w:szCs w:val="20"/>
        </w:rPr>
        <w:t xml:space="preserve">Es por ello, que </w:t>
      </w:r>
      <w:r w:rsidRPr="00657C8A">
        <w:rPr>
          <w:rFonts w:ascii="Verdana" w:eastAsia="Verdana" w:hAnsi="Verdana" w:cs="Verdana"/>
          <w:b/>
          <w:bCs/>
          <w:sz w:val="20"/>
          <w:szCs w:val="20"/>
        </w:rPr>
        <w:t>el Grupo de Patrimonio Cultural Inmaterial - PCI, de la Dirección de Patrimonio y Memoria</w:t>
      </w:r>
      <w:r w:rsidRPr="00657C8A">
        <w:rPr>
          <w:rFonts w:ascii="Verdana" w:eastAsia="Verdana" w:hAnsi="Verdana" w:cs="Verdana"/>
          <w:sz w:val="20"/>
          <w:szCs w:val="20"/>
        </w:rPr>
        <w:t xml:space="preserve"> es el punto focal técnico de Colombia para la implementación de este tratado internacional. El Grupo tiene como fin lograr la salvaguardia integral del patrimonio inmaterial desde y con la participación de comunidades, portadores, gestores, líderes y servidores públicos. </w:t>
      </w:r>
    </w:p>
    <w:p w14:paraId="019C5DD5" w14:textId="77777777" w:rsidR="00657C8A" w:rsidRPr="00657C8A" w:rsidRDefault="00657C8A" w:rsidP="00657C8A">
      <w:pPr>
        <w:spacing w:before="240" w:after="240"/>
        <w:ind w:left="-567" w:right="-801"/>
        <w:jc w:val="both"/>
        <w:rPr>
          <w:rFonts w:ascii="Verdana" w:hAnsi="Verdana"/>
          <w:sz w:val="20"/>
          <w:szCs w:val="20"/>
        </w:rPr>
      </w:pPr>
      <w:r w:rsidRPr="00657C8A">
        <w:rPr>
          <w:rFonts w:ascii="Verdana" w:eastAsia="Verdana" w:hAnsi="Verdana" w:cs="Verdana"/>
          <w:sz w:val="20"/>
          <w:szCs w:val="20"/>
        </w:rPr>
        <w:t xml:space="preserve">Como uno de sus principios, al cual corresponde al patrimonio cultural de naturaleza inmaterial, el artículo 22 del </w:t>
      </w:r>
      <w:r w:rsidRPr="00657C8A">
        <w:rPr>
          <w:rFonts w:ascii="Verdana" w:eastAsia="Verdana" w:hAnsi="Verdana" w:cs="Verdana"/>
          <w:b/>
          <w:bCs/>
          <w:sz w:val="20"/>
          <w:szCs w:val="20"/>
        </w:rPr>
        <w:t>Decreto 2358 de 2019</w:t>
      </w:r>
      <w:r w:rsidRPr="00657C8A">
        <w:rPr>
          <w:rFonts w:ascii="Verdana" w:eastAsia="Verdana" w:hAnsi="Verdana" w:cs="Verdana"/>
          <w:sz w:val="20"/>
          <w:szCs w:val="20"/>
        </w:rPr>
        <w:t>, que modifica y sustituye los Títulos 1 y 2 de la Parte 5 del Libro 2 del Decreto 1080 de 2015, reglamenta el objeto, integración, definiciones, fomento y titularidad del patrimonio cultural inmaterial y la Lista Representativa del Patrimonio Cultural Inmaterial. El</w:t>
      </w:r>
      <w:r w:rsidRPr="00657C8A">
        <w:rPr>
          <w:rFonts w:ascii="Verdana" w:eastAsia="Verdana" w:hAnsi="Verdana" w:cs="Verdana"/>
          <w:b/>
          <w:bCs/>
          <w:sz w:val="20"/>
          <w:szCs w:val="20"/>
        </w:rPr>
        <w:t xml:space="preserve"> Artículo 2.5.2.1.º del mencionado Decreto 2358 de 2019 modificatorio define la Lista Representativa de Patrimonio Cultural Inmaterial (LRPCI) </w:t>
      </w:r>
      <w:r w:rsidRPr="00657C8A">
        <w:rPr>
          <w:rFonts w:ascii="Verdana" w:eastAsia="Verdana" w:hAnsi="Verdana" w:cs="Verdana"/>
          <w:sz w:val="20"/>
          <w:szCs w:val="20"/>
        </w:rPr>
        <w:t xml:space="preserve">como un registro de información y un instrumento concertado entre las instancias públicas competentes y las comunidades involucradas, dirigido a aplicar planes especiales de salvaguardia a las manifestaciones que ingresen en dicha lista. </w:t>
      </w:r>
    </w:p>
    <w:p w14:paraId="66C864B5" w14:textId="77777777" w:rsidR="00657C8A" w:rsidRPr="00657C8A" w:rsidRDefault="00657C8A" w:rsidP="00657C8A">
      <w:pPr>
        <w:spacing w:before="240" w:after="240"/>
        <w:ind w:left="-567" w:right="-801"/>
        <w:jc w:val="both"/>
        <w:rPr>
          <w:rFonts w:ascii="Verdana" w:hAnsi="Verdana"/>
          <w:sz w:val="20"/>
          <w:szCs w:val="20"/>
        </w:rPr>
      </w:pPr>
      <w:r w:rsidRPr="00657C8A">
        <w:rPr>
          <w:rFonts w:ascii="Verdana" w:eastAsia="Verdana" w:hAnsi="Verdana" w:cs="Verdana"/>
          <w:sz w:val="20"/>
          <w:szCs w:val="20"/>
        </w:rPr>
        <w:t xml:space="preserve"> La inclusión de una manifestación en la LRPCI constituye un acto administrativo mediante el cual, previo análisis de los criterios de valoración y procedimiento reglamentados en el Decreto 2358 de 2019, la instancia competente determina si dicha manifestación, dada su significación especial para una comunidad o un determinado grupo social, o en virtud de su nivel de riesgo, requiere la elaboración y la aplicación de un plan especial de salvaguardia. </w:t>
      </w:r>
    </w:p>
    <w:p w14:paraId="30CC53AA" w14:textId="77777777" w:rsidR="00657C8A" w:rsidRPr="00657C8A" w:rsidRDefault="00657C8A" w:rsidP="00657C8A">
      <w:pPr>
        <w:spacing w:before="240" w:after="240"/>
        <w:ind w:left="-567" w:right="-801"/>
        <w:jc w:val="both"/>
        <w:rPr>
          <w:rFonts w:ascii="Verdana" w:hAnsi="Verdana"/>
          <w:sz w:val="20"/>
          <w:szCs w:val="20"/>
        </w:rPr>
      </w:pPr>
      <w:r w:rsidRPr="00657C8A">
        <w:rPr>
          <w:rFonts w:ascii="Verdana" w:eastAsia="Verdana" w:hAnsi="Verdana" w:cs="Verdana"/>
          <w:sz w:val="20"/>
          <w:szCs w:val="20"/>
        </w:rPr>
        <w:t xml:space="preserve"> Para que una práctica sea considerada como manifestación susceptible de ser incluida en una LRPCI, en cualquiera de los ámbitos, se </w:t>
      </w:r>
      <w:r w:rsidRPr="00657C8A">
        <w:rPr>
          <w:rFonts w:ascii="Verdana" w:eastAsia="Verdana" w:hAnsi="Verdana" w:cs="Verdana"/>
          <w:sz w:val="20"/>
          <w:szCs w:val="20"/>
          <w:u w:val="single"/>
        </w:rPr>
        <w:t>debe cumplir con una serie de requisitos</w:t>
      </w:r>
      <w:r w:rsidRPr="00657C8A">
        <w:rPr>
          <w:rFonts w:ascii="Verdana" w:eastAsia="Verdana" w:hAnsi="Verdana" w:cs="Verdana"/>
          <w:sz w:val="20"/>
          <w:szCs w:val="20"/>
        </w:rPr>
        <w:t xml:space="preserve">. Como primera medida, debe coincidir con la definición de patrimonio cultural inmaterial, establecida en el Artículo 2.5.1.2.º del Decreto 2358 de 2019: “El patrimonio cultural de la Nación de naturaleza inmaterial se designará para los efectos de este decreto y en consonancia con el artículo 11-1 de la Ley 397 de 1997, adicionado por el artículo 8.º de la Ley 1185 de 2008, como patrimonio cultural inmaterial -PCI- </w:t>
      </w:r>
    </w:p>
    <w:p w14:paraId="29B272E2" w14:textId="77777777" w:rsidR="00657C8A" w:rsidRPr="00657C8A" w:rsidRDefault="00657C8A" w:rsidP="00657C8A">
      <w:pPr>
        <w:spacing w:before="240" w:after="240"/>
        <w:ind w:left="-567" w:right="-801"/>
        <w:jc w:val="both"/>
        <w:rPr>
          <w:rFonts w:ascii="Verdana" w:hAnsi="Verdana"/>
          <w:sz w:val="20"/>
          <w:szCs w:val="20"/>
        </w:rPr>
      </w:pPr>
      <w:r w:rsidRPr="00657C8A">
        <w:rPr>
          <w:rFonts w:ascii="Verdana" w:eastAsia="Verdana" w:hAnsi="Verdana" w:cs="Verdana"/>
          <w:sz w:val="20"/>
          <w:szCs w:val="20"/>
        </w:rPr>
        <w:t xml:space="preserve">El manejo y la regulación del patrimonio cultural inmaterial forma parte del Sistema Nacional de Patrimonio Cultural de la Nación, en la misma forma establecida en la Ley General de Cultura reglamentada en lo pertinente por este decreto. </w:t>
      </w:r>
    </w:p>
    <w:p w14:paraId="6E4C2943" w14:textId="124AE4D3" w:rsidR="00657C8A" w:rsidRPr="00657C8A" w:rsidRDefault="00657C8A" w:rsidP="00657C8A">
      <w:pPr>
        <w:spacing w:before="240" w:after="240"/>
        <w:ind w:left="-567" w:right="-801"/>
        <w:jc w:val="both"/>
        <w:rPr>
          <w:rFonts w:ascii="Verdana" w:hAnsi="Verdana"/>
          <w:sz w:val="20"/>
          <w:szCs w:val="20"/>
        </w:rPr>
      </w:pPr>
      <w:r w:rsidRPr="00657C8A">
        <w:rPr>
          <w:rFonts w:ascii="Verdana" w:eastAsia="Verdana" w:hAnsi="Verdana" w:cs="Verdana"/>
          <w:b/>
          <w:bCs/>
          <w:sz w:val="20"/>
          <w:szCs w:val="20"/>
        </w:rPr>
        <w:t xml:space="preserve"> El patrimonio cultural inmaterial está integrado por</w:t>
      </w:r>
      <w:r w:rsidRPr="00657C8A">
        <w:rPr>
          <w:rFonts w:ascii="Verdana" w:eastAsia="Verdana" w:hAnsi="Verdana" w:cs="Verdana"/>
          <w:sz w:val="20"/>
          <w:szCs w:val="20"/>
        </w:rPr>
        <w:t xml:space="preserve"> los usos, prácticas, representaciones, expresiones, conocimientos y técnicas, junto con los instrumentos, objetos, artefactos, espacios culturales y naturales que les son inherentes, así como por las tradiciones y expresiones orales, incluidas las lenguas, artes del espectáculo, usos sociales, rituales y actos festivos, conocimientos y usos relacionados con la naturaleza y el universo, técnicas artesanales, que las comunidades, los grupos y en algunos casos los individuos reconozcan como parte de su patrimonio cultural. El patrimonio cultural inmaterial incluye a las personas que son creadoras o portadoras de las manifestaciones que lo integran. </w:t>
      </w:r>
    </w:p>
    <w:p w14:paraId="7AD7E3B3" w14:textId="77777777" w:rsidR="00657C8A" w:rsidRPr="00657C8A" w:rsidRDefault="00657C8A" w:rsidP="00657C8A">
      <w:pPr>
        <w:spacing w:before="240" w:after="240"/>
        <w:ind w:left="-567" w:right="-801"/>
        <w:jc w:val="both"/>
        <w:rPr>
          <w:rFonts w:ascii="Verdana" w:hAnsi="Verdana"/>
          <w:sz w:val="20"/>
          <w:szCs w:val="20"/>
        </w:rPr>
      </w:pPr>
      <w:r w:rsidRPr="00657C8A">
        <w:rPr>
          <w:rFonts w:ascii="Verdana" w:eastAsia="Verdana" w:hAnsi="Verdana" w:cs="Verdana"/>
          <w:sz w:val="20"/>
          <w:szCs w:val="20"/>
        </w:rPr>
        <w:lastRenderedPageBreak/>
        <w:t xml:space="preserve"> Para efectos de este decreto se tendrá en cuenta únicamente el Patrimonio Cultural Inmaterial que sea compatible con los instrumentos internacionales de derechos humanos existentes y con los imperativos de respeto mutuo entre comunidades, grupos e individuos y de desarrollo sostenible y lo estipulado en la Ley 1774 de 2016 "por medio de la cual se modifican código civil, la ley 84 de '1989, código penal, código de procedimiento penal y se dictan otras disposiciones" o la que la modifique o sustituya. </w:t>
      </w:r>
    </w:p>
    <w:p w14:paraId="47474DAD" w14:textId="77777777" w:rsidR="00657C8A" w:rsidRPr="00657C8A" w:rsidRDefault="00657C8A" w:rsidP="00657C8A">
      <w:pPr>
        <w:spacing w:before="240" w:after="240"/>
        <w:ind w:left="-567" w:right="-801"/>
        <w:jc w:val="both"/>
        <w:rPr>
          <w:rFonts w:ascii="Verdana" w:hAnsi="Verdana"/>
          <w:sz w:val="20"/>
          <w:szCs w:val="20"/>
        </w:rPr>
      </w:pPr>
      <w:r w:rsidRPr="00657C8A">
        <w:rPr>
          <w:rFonts w:ascii="Verdana" w:eastAsia="Verdana" w:hAnsi="Verdana" w:cs="Verdana"/>
          <w:sz w:val="20"/>
          <w:szCs w:val="20"/>
        </w:rPr>
        <w:t xml:space="preserve"> Los diversos tipos de PCI antes enunciados quedan comprendidos para efectos de este decreto bajo el término "</w:t>
      </w:r>
      <w:r w:rsidRPr="00657C8A">
        <w:rPr>
          <w:rFonts w:ascii="Verdana" w:eastAsia="Verdana" w:hAnsi="Verdana" w:cs="Verdana"/>
          <w:b/>
          <w:bCs/>
          <w:i/>
          <w:iCs/>
          <w:sz w:val="20"/>
          <w:szCs w:val="20"/>
        </w:rPr>
        <w:t>manifestaciones</w:t>
      </w:r>
      <w:r w:rsidRPr="00657C8A">
        <w:rPr>
          <w:rFonts w:ascii="Verdana" w:eastAsia="Verdana" w:hAnsi="Verdana" w:cs="Verdana"/>
          <w:sz w:val="20"/>
          <w:szCs w:val="20"/>
        </w:rPr>
        <w:t>".</w:t>
      </w:r>
    </w:p>
    <w:p w14:paraId="157BC53C" w14:textId="77777777" w:rsidR="00657C8A" w:rsidRPr="00657C8A" w:rsidRDefault="00657C8A" w:rsidP="00657C8A">
      <w:pPr>
        <w:pStyle w:val="NormalWeb"/>
        <w:ind w:left="-567" w:right="-801"/>
        <w:jc w:val="both"/>
        <w:rPr>
          <w:rFonts w:ascii="Verdana" w:eastAsia="Work Sans" w:hAnsi="Verdana" w:cs="Work Sans"/>
          <w:color w:val="000000" w:themeColor="text1"/>
          <w:sz w:val="20"/>
          <w:szCs w:val="20"/>
        </w:rPr>
      </w:pPr>
      <w:r w:rsidRPr="00657C8A">
        <w:rPr>
          <w:rFonts w:ascii="Verdana" w:eastAsia="Work Sans" w:hAnsi="Verdana" w:cs="Work Sans"/>
          <w:color w:val="000000" w:themeColor="text1"/>
          <w:sz w:val="20"/>
          <w:szCs w:val="20"/>
        </w:rPr>
        <w:t xml:space="preserve">El Ministerio de las Culturas las Artes y los Saberes, de conformidad con las bases del PND 2022 – 2026 “Colombia Potencia Mundial de la Vida”, adoptado mediante la Ley 2294 de 2023, y en concordancia con el transformador "Seguridad Humana y Justicia Social", que contiene el catalizador "Expansión de capacidades: más y mejores oportunidades de la población para lograr sus proyectos de vida" y que apunta a la acción de la "Garantía del disfrute y ejercicio de los derechos culturales para la vida y la paz" que establece que "Se reconocerá y posicionará al sector cultura para el desarrollo integral y la justicia social, a través de la construcción de una cultura de Paz y de inclusión; el fomento del arte para la vida, el diálogo intercultural, la economía cultural, popular y alternativa, y el reconocimiento de los saberes y prácticas culturales; la salvaguardia de las memorias; el fortalecimiento y dignificación de la labor cultural de las personas y sus condiciones de vida.", fijó como hoja de ruta los siguientes ejes estratégicos: “1. Cultura de paz, 2. Culturas, artes y saberes para la vida, 3. Memoria viva y saberes, 4. Colombia en el planeta y en el mundo, 5. Gobernanza cultural y 6. Poblaciones activas”, los cuales se ven reflejados en 17 objetivos estratégicos institucionales que atienden los aspectos principales para su gestión, tales como: * La Dimensión Cultural y social de La Paz, * Formación, educación y aprendizaje para la construcción de ciudadanías libres y sensibles, *Espacios culturales para la vida, * Ecosistemas vivos de las culturas, las artes y los saberes, * Diálogo intercultural con el mundo, * Participación ciudadana en la cultura: activa, democrática y diversa, *Mujeres deliberantes y liderazgos juveniles creando y transformando la sociedad, entre otros. </w:t>
      </w:r>
    </w:p>
    <w:p w14:paraId="484A4B0A" w14:textId="77777777" w:rsidR="00657C8A" w:rsidRPr="00657C8A" w:rsidRDefault="00657C8A" w:rsidP="00657C8A">
      <w:pPr>
        <w:pStyle w:val="NormalWeb"/>
        <w:ind w:left="-567" w:right="-801"/>
        <w:jc w:val="both"/>
        <w:rPr>
          <w:rFonts w:ascii="Verdana" w:eastAsia="Work Sans" w:hAnsi="Verdana" w:cs="Work Sans"/>
          <w:color w:val="000000" w:themeColor="text1"/>
          <w:sz w:val="20"/>
          <w:szCs w:val="20"/>
        </w:rPr>
      </w:pPr>
      <w:r w:rsidRPr="00657C8A">
        <w:rPr>
          <w:rFonts w:ascii="Verdana" w:eastAsia="Work Sans" w:hAnsi="Verdana" w:cs="Work Sans"/>
          <w:color w:val="000000" w:themeColor="text1"/>
          <w:sz w:val="20"/>
          <w:szCs w:val="20"/>
        </w:rPr>
        <w:t xml:space="preserve">Con ocasión de la sentencia del Consejo de Estado que resolvió una acción de Tutela, por vulnerar el derecho fundamental a la Consulta Previa en la formulación del Plan Nacional de Desarrollo 2006-2010, el gobierno desde 2008 ha asumido la tarea de consultar dicho instrumento, específicamente de los apartados que implican directamente a grupos étnicos. </w:t>
      </w:r>
    </w:p>
    <w:p w14:paraId="652D99F8" w14:textId="77777777" w:rsidR="00657C8A" w:rsidRPr="00657C8A" w:rsidRDefault="00657C8A" w:rsidP="00657C8A">
      <w:pPr>
        <w:pStyle w:val="NormalWeb"/>
        <w:ind w:left="-567" w:right="-801"/>
        <w:jc w:val="both"/>
        <w:rPr>
          <w:rFonts w:ascii="Verdana" w:eastAsia="Work Sans" w:hAnsi="Verdana" w:cs="Work Sans"/>
          <w:b/>
          <w:bCs/>
          <w:color w:val="000000" w:themeColor="text1"/>
          <w:sz w:val="20"/>
          <w:szCs w:val="20"/>
        </w:rPr>
      </w:pPr>
      <w:r w:rsidRPr="00657C8A">
        <w:rPr>
          <w:rFonts w:ascii="Verdana" w:eastAsia="Work Sans" w:hAnsi="Verdana" w:cs="Work Sans"/>
          <w:color w:val="000000" w:themeColor="text1"/>
          <w:sz w:val="20"/>
          <w:szCs w:val="20"/>
        </w:rPr>
        <w:t>Teniendo en cuenta los anterior, es importante señalar que en el mes de febrero de 2023 se desarrolló sesión No. 73 de la Mesa Regional Amazónica – MRA, en la ciudad de Bogotá. Allí, el Ministerio de las Culturas, las Artes y los Saberes, suscribió el Acuerdo IT 208: F</w:t>
      </w:r>
      <w:r w:rsidRPr="00657C8A">
        <w:rPr>
          <w:rFonts w:ascii="Verdana" w:eastAsia="Work Sans" w:hAnsi="Verdana" w:cs="Work Sans"/>
          <w:b/>
          <w:bCs/>
          <w:color w:val="000000" w:themeColor="text1"/>
          <w:sz w:val="20"/>
          <w:szCs w:val="20"/>
        </w:rPr>
        <w:t xml:space="preserve">ormular y avanzar en la implementación de un Plan Integral Regional en concertación con la MRA para preservar los sistemas de pensamiento, saberes, prácticas ancestrales, espacios de trasmisión intergeneracional de los sistemas de conocimiento propio de los pueblos indígenas de la región amazónica. </w:t>
      </w:r>
    </w:p>
    <w:p w14:paraId="2178A90B" w14:textId="77777777" w:rsidR="00657C8A" w:rsidRPr="00657C8A" w:rsidRDefault="00657C8A" w:rsidP="00657C8A">
      <w:pPr>
        <w:pStyle w:val="NormalWeb"/>
        <w:ind w:left="-567" w:right="-801"/>
        <w:jc w:val="both"/>
        <w:rPr>
          <w:rFonts w:ascii="Verdana" w:eastAsia="Work Sans" w:hAnsi="Verdana" w:cs="Work Sans"/>
          <w:color w:val="000000" w:themeColor="text1"/>
          <w:sz w:val="20"/>
          <w:szCs w:val="20"/>
        </w:rPr>
      </w:pPr>
      <w:r w:rsidRPr="00657C8A">
        <w:rPr>
          <w:rFonts w:ascii="Verdana" w:eastAsia="Work Sans" w:hAnsi="Verdana" w:cs="Work Sans"/>
          <w:color w:val="000000" w:themeColor="text1"/>
          <w:sz w:val="20"/>
          <w:szCs w:val="20"/>
        </w:rPr>
        <w:t xml:space="preserve">En este sentido, cabe mencionar que el Ministerio de las Culturas, las Artes y los Saberes concibe los sistemas de conocimiento propio de los pueblos indígenas como patrimonio cultural inmaterial (PCI). El PCI es entendido de manera incluyente, diversa y participativa, como una suma de bienes y manifestaciones que abarca un vasto campo de la vida social y está constituida por un complejo </w:t>
      </w:r>
      <w:r w:rsidRPr="00657C8A">
        <w:rPr>
          <w:rFonts w:ascii="Verdana" w:eastAsia="Work Sans" w:hAnsi="Verdana" w:cs="Work Sans"/>
          <w:color w:val="000000" w:themeColor="text1"/>
          <w:sz w:val="20"/>
          <w:szCs w:val="20"/>
        </w:rPr>
        <w:lastRenderedPageBreak/>
        <w:t xml:space="preserve">conjunto de activos sociales de carácter cultural (material e inmaterial), que le dan a un grupo humano sentido, identidad y pertenencia.  </w:t>
      </w:r>
    </w:p>
    <w:p w14:paraId="2CF9DEB1" w14:textId="77777777" w:rsidR="00657C8A" w:rsidRPr="00657C8A" w:rsidRDefault="00657C8A" w:rsidP="00657C8A">
      <w:pPr>
        <w:pStyle w:val="NormalWeb"/>
        <w:ind w:left="-567" w:right="-801"/>
        <w:jc w:val="both"/>
        <w:rPr>
          <w:rFonts w:ascii="Verdana" w:eastAsia="Work Sans" w:hAnsi="Verdana" w:cs="Work Sans"/>
          <w:color w:val="000000" w:themeColor="text1"/>
          <w:sz w:val="20"/>
          <w:szCs w:val="20"/>
        </w:rPr>
      </w:pPr>
      <w:r w:rsidRPr="00657C8A">
        <w:rPr>
          <w:rFonts w:ascii="Verdana" w:eastAsia="Work Sans" w:hAnsi="Verdana" w:cs="Work Sans"/>
          <w:color w:val="000000" w:themeColor="text1"/>
          <w:sz w:val="20"/>
          <w:szCs w:val="20"/>
        </w:rPr>
        <w:t>El Convenio y cada compromiso adquirido por el Ministerio de las Culturas, las Artes y los Saberes busca favorecer y salvaguardar las manifestaciones culturales de los pueblos indígenas de la Amazonía cuyas organizaciones indígenas están adscritas a la Organización de los Pueblos Indígenas de la Amazonía Colombiana (en adelante OPIAC). Durante 2024 y 2025 el Grupo de PCI de la Dirección de Patrimonio y Memoria adelantó mediante un convenio con OPIAC, la construcción del Plan Integral Regional de Cultura, en cuya introducción afirma:</w:t>
      </w:r>
    </w:p>
    <w:p w14:paraId="08E10206" w14:textId="77777777" w:rsidR="00657C8A" w:rsidRPr="00657C8A" w:rsidRDefault="00657C8A" w:rsidP="00657C8A">
      <w:pPr>
        <w:pStyle w:val="NormalWeb"/>
        <w:ind w:left="-567" w:right="-801"/>
        <w:jc w:val="both"/>
        <w:rPr>
          <w:rFonts w:ascii="Verdana" w:hAnsi="Verdana"/>
          <w:sz w:val="20"/>
          <w:szCs w:val="20"/>
        </w:rPr>
      </w:pPr>
      <w:r w:rsidRPr="00657C8A">
        <w:rPr>
          <w:rFonts w:ascii="Verdana" w:hAnsi="Verdana"/>
          <w:sz w:val="20"/>
          <w:szCs w:val="20"/>
        </w:rPr>
        <w:t xml:space="preserve">“El presente documento, se construye como una herramienta de planificación y acción, orientada a consolidar políticas públicas culturales con enfoque étnico, territorial e intercultural. A través de una metodología participativa implementada en los departamentos de Amazonas, Caquetá, Guainía, Guaviare, Putumayo y Vaupés, se recogieron las voces, experiencias y propuestas de los pueblos indígenas en relación con sus prácticas culturales, los desafíos que enfrentan actualmente y las acciones que consideran prioritarias para su salvaguardia, fortalecimiento y renovación.” (plan Integral Regional de Cultura – </w:t>
      </w:r>
      <w:proofErr w:type="spellStart"/>
      <w:r w:rsidRPr="00657C8A">
        <w:rPr>
          <w:rFonts w:ascii="Verdana" w:hAnsi="Verdana"/>
          <w:sz w:val="20"/>
          <w:szCs w:val="20"/>
        </w:rPr>
        <w:t>Opiac</w:t>
      </w:r>
      <w:proofErr w:type="spellEnd"/>
      <w:r w:rsidRPr="00657C8A">
        <w:rPr>
          <w:rFonts w:ascii="Verdana" w:hAnsi="Verdana"/>
          <w:sz w:val="20"/>
          <w:szCs w:val="20"/>
        </w:rPr>
        <w:t xml:space="preserve"> 2025). </w:t>
      </w:r>
    </w:p>
    <w:p w14:paraId="00F6A8D1" w14:textId="5E3936C3" w:rsidR="5A87A8E9" w:rsidRPr="001A3FFD" w:rsidRDefault="00657C8A" w:rsidP="00657C8A">
      <w:pPr>
        <w:pStyle w:val="NormalWeb"/>
        <w:ind w:left="-567" w:right="-801"/>
        <w:jc w:val="both"/>
        <w:rPr>
          <w:rFonts w:ascii="Verdana" w:eastAsia="Verdana" w:hAnsi="Verdana" w:cs="Verdana"/>
          <w:i/>
          <w:iCs/>
          <w:sz w:val="20"/>
          <w:szCs w:val="20"/>
          <w:lang w:eastAsia="es-MX"/>
        </w:rPr>
      </w:pPr>
      <w:r w:rsidRPr="00657C8A">
        <w:rPr>
          <w:rFonts w:ascii="Verdana" w:eastAsia="Work Sans" w:hAnsi="Verdana" w:cs="Work Sans"/>
          <w:color w:val="000000" w:themeColor="text1"/>
          <w:sz w:val="20"/>
          <w:szCs w:val="20"/>
        </w:rPr>
        <w:t xml:space="preserve">Por ello, la presente propuesta tiene como objetivo principal la socialización y validación del Plan Integral Regional de Cultura con las comunidades indígenas de la región amazónica, en concertación con la MRA, con el propósito de garantizar la apropiación del documento frente a los sistemas de pensamiento, saberes, prácticas ancestrales y espacios de transmisión intergeneracional de los pueblos indígenas. </w:t>
      </w:r>
      <w:r w:rsidRPr="00657C8A">
        <w:rPr>
          <w:rFonts w:ascii="Verdana" w:eastAsia="Work Sans" w:hAnsi="Verdana" w:cs="Work Sans"/>
          <w:sz w:val="20"/>
          <w:szCs w:val="20"/>
        </w:rPr>
        <w:t xml:space="preserve">Esta iniciativa cobra gran importancia dado que emerge </w:t>
      </w:r>
      <w:r w:rsidRPr="00657C8A">
        <w:rPr>
          <w:rFonts w:ascii="Verdana" w:hAnsi="Verdana"/>
          <w:sz w:val="20"/>
          <w:szCs w:val="20"/>
        </w:rPr>
        <w:t>de diferentes espacios de concertación realizados en las comunidades, en los cuales se busca fortalecer el tejido organizativo, social y cultural diversificando la intervención en los territorios.</w:t>
      </w:r>
    </w:p>
    <w:p w14:paraId="57BCBF6E" w14:textId="77777777" w:rsidR="00A23D2F" w:rsidRPr="001A3FFD" w:rsidRDefault="7AC9E770" w:rsidP="00DD2282">
      <w:pPr>
        <w:pStyle w:val="Prrafodelista"/>
        <w:numPr>
          <w:ilvl w:val="0"/>
          <w:numId w:val="4"/>
        </w:numPr>
        <w:ind w:left="-567" w:right="-801" w:hanging="357"/>
        <w:jc w:val="both"/>
        <w:rPr>
          <w:rFonts w:ascii="Verdana" w:eastAsia="Verdana" w:hAnsi="Verdana" w:cs="Verdana"/>
          <w:b/>
          <w:bCs/>
          <w:sz w:val="20"/>
          <w:szCs w:val="20"/>
        </w:rPr>
      </w:pPr>
      <w:r w:rsidRPr="001A3FFD">
        <w:rPr>
          <w:rFonts w:ascii="Verdana" w:eastAsia="Verdana" w:hAnsi="Verdana" w:cs="Verdana"/>
          <w:b/>
          <w:bCs/>
          <w:sz w:val="20"/>
          <w:szCs w:val="20"/>
          <w:lang w:val="es-ES"/>
        </w:rPr>
        <w:t>OBJETO</w:t>
      </w:r>
    </w:p>
    <w:p w14:paraId="79CA4147" w14:textId="77777777" w:rsidR="00A44AE9" w:rsidRPr="001A3FFD" w:rsidRDefault="00A44AE9" w:rsidP="00A44AE9">
      <w:pPr>
        <w:pStyle w:val="Prrafodelista"/>
        <w:spacing w:after="240"/>
        <w:ind w:left="-567" w:right="-801"/>
        <w:jc w:val="both"/>
        <w:rPr>
          <w:rFonts w:ascii="Verdana" w:eastAsia="Verdana" w:hAnsi="Verdana" w:cs="Verdana"/>
          <w:b/>
          <w:bCs/>
          <w:sz w:val="20"/>
          <w:szCs w:val="20"/>
        </w:rPr>
      </w:pPr>
    </w:p>
    <w:p w14:paraId="4ABC27DD" w14:textId="0666185A" w:rsidR="5A87A8E9" w:rsidRDefault="00657C8A" w:rsidP="5A87A8E9">
      <w:pPr>
        <w:pStyle w:val="Prrafodelista"/>
        <w:spacing w:after="240"/>
        <w:ind w:left="-567" w:right="-801"/>
        <w:jc w:val="both"/>
        <w:rPr>
          <w:rFonts w:ascii="Verdana" w:eastAsiaTheme="minorEastAsia" w:hAnsi="Verdana" w:cstheme="minorBidi"/>
          <w:sz w:val="20"/>
          <w:szCs w:val="20"/>
        </w:rPr>
      </w:pPr>
      <w:r w:rsidRPr="00657C8A">
        <w:rPr>
          <w:rFonts w:ascii="Verdana" w:eastAsiaTheme="minorEastAsia" w:hAnsi="Verdana" w:cstheme="minorBidi"/>
          <w:sz w:val="20"/>
          <w:szCs w:val="20"/>
        </w:rPr>
        <w:t>Aunar esfuerzos humanos, administrativos técnicos y financieros para la socialización y validación del Plan Integral Regional de Cultura con las comunidades indígenas de la región amazónica, en concertación con la MRA, con el propósito de garantizar la apropiación del documento frente a los sistemas de pensamiento, saberes, prácticas ancestrales y espacios de transmisión intergeneracional de los pueblos indígenas.</w:t>
      </w:r>
    </w:p>
    <w:p w14:paraId="15C0DA03" w14:textId="77777777" w:rsidR="00657C8A" w:rsidRPr="001A3FFD" w:rsidRDefault="00657C8A" w:rsidP="5A87A8E9">
      <w:pPr>
        <w:pStyle w:val="Prrafodelista"/>
        <w:spacing w:after="240"/>
        <w:ind w:left="-567" w:right="-801"/>
        <w:jc w:val="both"/>
        <w:rPr>
          <w:rFonts w:ascii="Verdana" w:eastAsia="Verdana" w:hAnsi="Verdana" w:cs="Verdana"/>
          <w:b/>
          <w:bCs/>
          <w:sz w:val="20"/>
          <w:szCs w:val="20"/>
        </w:rPr>
      </w:pPr>
    </w:p>
    <w:p w14:paraId="2DEC3A56" w14:textId="26006FB5" w:rsidR="00FE108F" w:rsidRPr="001A3FFD" w:rsidRDefault="00F7644F" w:rsidP="00DD2282">
      <w:pPr>
        <w:pStyle w:val="Prrafodelista"/>
        <w:numPr>
          <w:ilvl w:val="0"/>
          <w:numId w:val="4"/>
        </w:numPr>
        <w:spacing w:after="240"/>
        <w:ind w:left="-567" w:right="-801" w:hanging="357"/>
        <w:jc w:val="both"/>
        <w:rPr>
          <w:rFonts w:ascii="Verdana" w:eastAsia="Verdana" w:hAnsi="Verdana" w:cs="Verdana"/>
          <w:b/>
          <w:bCs/>
          <w:sz w:val="20"/>
          <w:szCs w:val="20"/>
        </w:rPr>
      </w:pPr>
      <w:r w:rsidRPr="001A3FFD">
        <w:rPr>
          <w:rFonts w:ascii="Verdana" w:eastAsia="Verdana" w:hAnsi="Verdana" w:cs="Verdana"/>
          <w:b/>
          <w:bCs/>
          <w:sz w:val="20"/>
          <w:szCs w:val="20"/>
        </w:rPr>
        <w:t>ASPECTOS GENERALES DE MERCADO</w:t>
      </w:r>
    </w:p>
    <w:p w14:paraId="2B5DD8E3" w14:textId="77777777" w:rsidR="001A3FFD" w:rsidRPr="001A3FFD" w:rsidRDefault="001A3FFD" w:rsidP="001A3FFD">
      <w:pPr>
        <w:spacing w:before="100" w:beforeAutospacing="1" w:after="100" w:afterAutospacing="1"/>
        <w:ind w:left="-567" w:right="-801"/>
        <w:jc w:val="both"/>
        <w:textAlignment w:val="baseline"/>
        <w:rPr>
          <w:rFonts w:ascii="Verdana" w:hAnsi="Verdana" w:cs="Segoe UI"/>
          <w:sz w:val="20"/>
          <w:szCs w:val="20"/>
          <w:lang w:eastAsia="es-CO"/>
        </w:rPr>
      </w:pPr>
      <w:r w:rsidRPr="001A3FFD">
        <w:rPr>
          <w:rFonts w:ascii="Verdana" w:hAnsi="Verdana" w:cs="Segoe UI"/>
          <w:sz w:val="20"/>
          <w:szCs w:val="20"/>
          <w:lang w:eastAsia="es-CO"/>
        </w:rPr>
        <w:t>El presente análisis de mercado se enmarca en el sector cultural, específicamente en el ámbito del Patrimonio Cultural Inmaterial (PCI), con énfasis en las acciones de salvaguardia de manifestaciones culturales como las aquí analizadas. Este sector, si bien no hace parte de las actividades económicas tradicionales medidas de forma directa por el Producto Interno Bruto (PIB) sectorial, constituye un componente estratégico de la identidad, la cohesión social y la sostenibilidad cultural del país, razón por la cual es objeto de políticas públicas diferenciadas y asignaciones presupuestales específicas por parte del Estado.</w:t>
      </w:r>
    </w:p>
    <w:p w14:paraId="4A56569A" w14:textId="77777777" w:rsidR="001A3FFD" w:rsidRPr="001A3FFD" w:rsidRDefault="001A3FFD" w:rsidP="001A3FFD">
      <w:pPr>
        <w:spacing w:before="100" w:beforeAutospacing="1" w:after="100" w:afterAutospacing="1"/>
        <w:ind w:left="-567" w:right="-801"/>
        <w:jc w:val="both"/>
        <w:textAlignment w:val="baseline"/>
        <w:rPr>
          <w:rFonts w:ascii="Verdana" w:hAnsi="Verdana" w:cs="Segoe UI"/>
          <w:sz w:val="20"/>
          <w:szCs w:val="20"/>
          <w:lang w:eastAsia="es-CO"/>
        </w:rPr>
      </w:pPr>
      <w:r w:rsidRPr="001A3FFD">
        <w:rPr>
          <w:rFonts w:ascii="Verdana" w:hAnsi="Verdana" w:cs="Segoe UI"/>
          <w:sz w:val="20"/>
          <w:szCs w:val="20"/>
          <w:lang w:eastAsia="es-CO"/>
        </w:rPr>
        <w:t xml:space="preserve">Durante los últimos años, y con corte al </w:t>
      </w:r>
      <w:r w:rsidRPr="001A3FFD">
        <w:rPr>
          <w:rFonts w:ascii="Verdana" w:hAnsi="Verdana" w:cs="Segoe UI"/>
          <w:b/>
          <w:bCs/>
          <w:sz w:val="20"/>
          <w:szCs w:val="20"/>
          <w:lang w:eastAsia="es-CO"/>
        </w:rPr>
        <w:t>último trimestre de 2025</w:t>
      </w:r>
      <w:r w:rsidRPr="001A3FFD">
        <w:rPr>
          <w:rFonts w:ascii="Verdana" w:hAnsi="Verdana" w:cs="Segoe UI"/>
          <w:sz w:val="20"/>
          <w:szCs w:val="20"/>
          <w:lang w:eastAsia="es-CO"/>
        </w:rPr>
        <w:t xml:space="preserve">, el sector cultural ha evidenciado un fortalecimiento progresivo en términos de </w:t>
      </w:r>
      <w:proofErr w:type="spellStart"/>
      <w:r w:rsidRPr="001A3FFD">
        <w:rPr>
          <w:rFonts w:ascii="Verdana" w:hAnsi="Verdana" w:cs="Segoe UI"/>
          <w:sz w:val="20"/>
          <w:szCs w:val="20"/>
          <w:lang w:eastAsia="es-CO"/>
        </w:rPr>
        <w:t>visibilización</w:t>
      </w:r>
      <w:proofErr w:type="spellEnd"/>
      <w:r w:rsidRPr="001A3FFD">
        <w:rPr>
          <w:rFonts w:ascii="Verdana" w:hAnsi="Verdana" w:cs="Segoe UI"/>
          <w:sz w:val="20"/>
          <w:szCs w:val="20"/>
          <w:lang w:eastAsia="es-CO"/>
        </w:rPr>
        <w:t xml:space="preserve"> institucional, formulación de instrumentos de política pública y consolidación de programas como los Planes Especiales de Salvaguardia (PES), </w:t>
      </w:r>
      <w:r w:rsidRPr="001A3FFD">
        <w:rPr>
          <w:rFonts w:ascii="Verdana" w:hAnsi="Verdana" w:cs="Segoe UI"/>
          <w:sz w:val="20"/>
          <w:szCs w:val="20"/>
          <w:lang w:eastAsia="es-CO"/>
        </w:rPr>
        <w:lastRenderedPageBreak/>
        <w:t>así como el incremento de manifestaciones inscritas en la Lista Representativa de Patrimonio Cultural Inmaterial (LRPCI). No obstante, este crecimiento se ha desarrollado en un contexto macroeconómico marcado por presiones inflacionarias, ajustes en el poder adquisitivo de los hogares y una dinámica económica fluctuante, factores que inciden de manera directa en la disponibilidad de recursos públicos, en los costos de operación logística y en la ejecución de actividades culturales en territorio, especialmente en zonas rurales y de difícil acceso.</w:t>
      </w:r>
    </w:p>
    <w:p w14:paraId="6D453F7D" w14:textId="77777777" w:rsidR="001A3FFD" w:rsidRPr="001A3FFD" w:rsidRDefault="001A3FFD" w:rsidP="001A3FFD">
      <w:pPr>
        <w:spacing w:before="100" w:beforeAutospacing="1" w:after="100" w:afterAutospacing="1"/>
        <w:ind w:left="-567" w:right="-801"/>
        <w:jc w:val="both"/>
        <w:textAlignment w:val="baseline"/>
        <w:rPr>
          <w:rFonts w:ascii="Verdana" w:hAnsi="Verdana" w:cs="Segoe UI"/>
          <w:sz w:val="20"/>
          <w:szCs w:val="20"/>
          <w:lang w:eastAsia="es-CO"/>
        </w:rPr>
      </w:pPr>
      <w:r w:rsidRPr="001A3FFD">
        <w:rPr>
          <w:rFonts w:ascii="Verdana" w:hAnsi="Verdana" w:cs="Segoe UI"/>
          <w:sz w:val="20"/>
          <w:szCs w:val="20"/>
          <w:lang w:eastAsia="es-CO"/>
        </w:rPr>
        <w:t xml:space="preserve">En este escenario, resulta pertinente y necesario incorporar el análisis del </w:t>
      </w:r>
      <w:r w:rsidRPr="001A3FFD">
        <w:rPr>
          <w:rFonts w:ascii="Verdana" w:hAnsi="Verdana" w:cs="Segoe UI"/>
          <w:b/>
          <w:bCs/>
          <w:sz w:val="20"/>
          <w:szCs w:val="20"/>
          <w:lang w:eastAsia="es-CO"/>
        </w:rPr>
        <w:t>Índice de Precios al Consumidor (IPC) con información actualizada al último trimestre de 2025</w:t>
      </w:r>
      <w:r w:rsidRPr="001A3FFD">
        <w:rPr>
          <w:rFonts w:ascii="Verdana" w:hAnsi="Verdana" w:cs="Segoe UI"/>
          <w:sz w:val="20"/>
          <w:szCs w:val="20"/>
          <w:lang w:eastAsia="es-CO"/>
        </w:rPr>
        <w:t>, como un indicador que permite contextualizar el comportamiento económico general y su incidencia sobre los costos asociados a la ejecución del proyecto, tales como transporte, alimentación, alojamiento, honorarios, logística de los espacios comunitarios, procesos de difusión y producción cultural. Asimismo, el IPC constituye un insumo clave para evaluar la evolución del poder adquisitivo de las comunidades portadoras y anticipar ajustes razonables en la planeación presupuestal, garantizando la viabilidad financiera y la sostenibilidad del proceso de salvaguardia propuesto.</w:t>
      </w:r>
    </w:p>
    <w:p w14:paraId="14A18DAF" w14:textId="77777777" w:rsidR="001A3FFD" w:rsidRPr="001A3FFD" w:rsidRDefault="001A3FFD" w:rsidP="001A3FFD">
      <w:pPr>
        <w:spacing w:before="100" w:beforeAutospacing="1" w:after="100" w:afterAutospacing="1"/>
        <w:ind w:left="-567" w:right="-801"/>
        <w:jc w:val="both"/>
        <w:textAlignment w:val="baseline"/>
        <w:rPr>
          <w:rFonts w:ascii="Verdana" w:hAnsi="Verdana" w:cs="Segoe UI"/>
          <w:sz w:val="20"/>
          <w:szCs w:val="20"/>
          <w:lang w:eastAsia="es-CO"/>
        </w:rPr>
      </w:pPr>
      <w:r w:rsidRPr="001A3FFD">
        <w:rPr>
          <w:rFonts w:ascii="Verdana" w:hAnsi="Verdana" w:cs="Segoe UI"/>
          <w:sz w:val="20"/>
          <w:szCs w:val="20"/>
          <w:lang w:eastAsia="es-CO"/>
        </w:rPr>
        <w:t xml:space="preserve">De manera complementaria, el análisis del mercado incorpora la referencia al </w:t>
      </w:r>
      <w:r w:rsidRPr="001A3FFD">
        <w:rPr>
          <w:rFonts w:ascii="Verdana" w:hAnsi="Verdana" w:cs="Segoe UI"/>
          <w:b/>
          <w:bCs/>
          <w:sz w:val="20"/>
          <w:szCs w:val="20"/>
          <w:lang w:eastAsia="es-CO"/>
        </w:rPr>
        <w:t>Salario Mínimo Mensual Legal Vigente proyectado para la vigencia 2026</w:t>
      </w:r>
      <w:r w:rsidRPr="001A3FFD">
        <w:rPr>
          <w:rFonts w:ascii="Verdana" w:hAnsi="Verdana" w:cs="Segoe UI"/>
          <w:sz w:val="20"/>
          <w:szCs w:val="20"/>
          <w:lang w:eastAsia="es-CO"/>
        </w:rPr>
        <w:t>, en tanto este constituye un factor determinante en la estructuración de los costos laborales, honorarios y servicios asociados al desarrollo de las actividades contractuales. La actualización de este componente permite asegurar que las estimaciones presupuestales se encuentren alineadas con las condiciones económicas vigentes y con los principios de planeación, eficiencia y suficiencia del gasto público, en coherencia con la normativa aplicable a la contratación estatal.</w:t>
      </w:r>
    </w:p>
    <w:p w14:paraId="07618529" w14:textId="0AFD9A80" w:rsidR="009D045F" w:rsidRPr="001A3FFD" w:rsidRDefault="009D045F" w:rsidP="001A3FFD">
      <w:pPr>
        <w:pStyle w:val="Prrafodelista"/>
        <w:numPr>
          <w:ilvl w:val="1"/>
          <w:numId w:val="4"/>
        </w:numPr>
        <w:spacing w:after="240"/>
        <w:ind w:left="-567" w:right="-801" w:firstLine="0"/>
        <w:jc w:val="both"/>
        <w:rPr>
          <w:rFonts w:ascii="Verdana" w:eastAsia="Verdana" w:hAnsi="Verdana" w:cs="Verdana"/>
          <w:b/>
          <w:bCs/>
          <w:sz w:val="20"/>
          <w:szCs w:val="20"/>
        </w:rPr>
      </w:pPr>
      <w:r w:rsidRPr="001A3FFD">
        <w:rPr>
          <w:rFonts w:ascii="Verdana" w:eastAsia="Verdana" w:hAnsi="Verdana" w:cs="Verdana"/>
          <w:b/>
          <w:bCs/>
          <w:sz w:val="20"/>
          <w:szCs w:val="20"/>
        </w:rPr>
        <w:t>Índice de precios al consumidor </w:t>
      </w:r>
    </w:p>
    <w:p w14:paraId="7CF1E5AF" w14:textId="77777777" w:rsidR="006A6A36" w:rsidRPr="00C93634" w:rsidRDefault="006A6A36" w:rsidP="006A6A36">
      <w:pPr>
        <w:ind w:left="-567" w:right="-801"/>
        <w:jc w:val="both"/>
        <w:textAlignment w:val="baseline"/>
        <w:rPr>
          <w:rFonts w:ascii="Verdana" w:hAnsi="Verdana" w:cs="Segoe UI"/>
          <w:sz w:val="20"/>
          <w:szCs w:val="20"/>
          <w:lang w:eastAsia="es-CO"/>
        </w:rPr>
      </w:pPr>
      <w:r w:rsidRPr="08BE3A98">
        <w:rPr>
          <w:rFonts w:ascii="Verdana" w:hAnsi="Verdana" w:cs="Segoe UI"/>
          <w:sz w:val="20"/>
          <w:szCs w:val="20"/>
          <w:lang w:eastAsia="es-CO"/>
        </w:rPr>
        <w:t> </w:t>
      </w:r>
      <w:r w:rsidRPr="08BE3A98">
        <w:rPr>
          <w:rFonts w:ascii="Verdana" w:eastAsia="Verdana" w:hAnsi="Verdana" w:cs="Verdana"/>
          <w:sz w:val="20"/>
          <w:szCs w:val="20"/>
          <w:lang w:val="es"/>
        </w:rPr>
        <w:t>El Índice de Precios al Consumidor (IPC) es una herramienta fundamental en la economía por varias razones:</w:t>
      </w:r>
      <w:r w:rsidRPr="08BE3A98">
        <w:rPr>
          <w:rFonts w:ascii="Verdana" w:eastAsia="Verdana" w:hAnsi="Verdana" w:cs="Verdana"/>
          <w:sz w:val="20"/>
          <w:szCs w:val="20"/>
        </w:rPr>
        <w:t xml:space="preserve"> </w:t>
      </w:r>
    </w:p>
    <w:p w14:paraId="67056933" w14:textId="77777777" w:rsidR="006A6A36" w:rsidRPr="00C93634" w:rsidRDefault="006A6A36" w:rsidP="006A6A36">
      <w:pPr>
        <w:ind w:left="-567" w:right="-801"/>
        <w:jc w:val="both"/>
        <w:textAlignment w:val="baseline"/>
      </w:pPr>
      <w:r w:rsidRPr="08BE3A98">
        <w:rPr>
          <w:rFonts w:ascii="Verdana" w:eastAsia="Verdana" w:hAnsi="Verdana" w:cs="Verdana"/>
          <w:sz w:val="20"/>
          <w:szCs w:val="20"/>
          <w:lang w:val="es"/>
        </w:rPr>
        <w:t xml:space="preserve"> </w:t>
      </w:r>
      <w:r w:rsidRPr="08BE3A98">
        <w:rPr>
          <w:rFonts w:ascii="Verdana" w:eastAsia="Verdana" w:hAnsi="Verdana" w:cs="Verdana"/>
          <w:sz w:val="20"/>
          <w:szCs w:val="20"/>
        </w:rPr>
        <w:t xml:space="preserve"> </w:t>
      </w:r>
    </w:p>
    <w:p w14:paraId="55A1C8D4" w14:textId="77777777" w:rsidR="006A6A36" w:rsidRPr="00C93634" w:rsidRDefault="006A6A36" w:rsidP="006A6A36">
      <w:pPr>
        <w:ind w:left="-567" w:right="-801"/>
        <w:jc w:val="both"/>
        <w:textAlignment w:val="baseline"/>
      </w:pPr>
      <w:r w:rsidRPr="08BE3A98">
        <w:rPr>
          <w:rFonts w:ascii="Verdana" w:eastAsia="Verdana" w:hAnsi="Verdana" w:cs="Verdana"/>
          <w:b/>
          <w:bCs/>
          <w:sz w:val="20"/>
          <w:szCs w:val="20"/>
          <w:lang w:val="es"/>
        </w:rPr>
        <w:t xml:space="preserve">Medir los cambios de precios y la inflación: </w:t>
      </w:r>
      <w:r w:rsidRPr="08BE3A98">
        <w:rPr>
          <w:rFonts w:ascii="Verdana" w:eastAsia="Verdana" w:hAnsi="Verdana" w:cs="Verdana"/>
          <w:sz w:val="20"/>
          <w:szCs w:val="20"/>
          <w:lang w:val="es"/>
        </w:rPr>
        <w:t>El IPC se utiliza para medir los cambios en los precios de una canasta representativa de bienes y servicios que consumen los hogares. Esto ayuda a entender cómo la inflación afecta el poder adquisitivo de los consumidores a lo largo del tiempo. Un aumento en el IPC indica inflación, lo que significa que los consumidores necesitan más dinero para comprar la misma cantidad de bienes y servicios.</w:t>
      </w:r>
      <w:r w:rsidRPr="08BE3A98">
        <w:rPr>
          <w:rFonts w:ascii="Verdana" w:eastAsia="Verdana" w:hAnsi="Verdana" w:cs="Verdana"/>
          <w:sz w:val="20"/>
          <w:szCs w:val="20"/>
        </w:rPr>
        <w:t xml:space="preserve"> </w:t>
      </w:r>
    </w:p>
    <w:p w14:paraId="3AA25E28" w14:textId="77777777" w:rsidR="006A6A36" w:rsidRPr="00C93634" w:rsidRDefault="006A6A36" w:rsidP="006A6A36">
      <w:pPr>
        <w:ind w:left="-567" w:right="-801"/>
        <w:jc w:val="both"/>
        <w:textAlignment w:val="baseline"/>
      </w:pPr>
      <w:r w:rsidRPr="08BE3A98">
        <w:rPr>
          <w:rFonts w:ascii="Verdana" w:eastAsia="Verdana" w:hAnsi="Verdana" w:cs="Verdana"/>
          <w:sz w:val="20"/>
          <w:szCs w:val="20"/>
          <w:lang w:val="es"/>
        </w:rPr>
        <w:t xml:space="preserve"> </w:t>
      </w:r>
      <w:r w:rsidRPr="08BE3A98">
        <w:rPr>
          <w:rFonts w:ascii="Verdana" w:eastAsia="Verdana" w:hAnsi="Verdana" w:cs="Verdana"/>
          <w:sz w:val="20"/>
          <w:szCs w:val="20"/>
        </w:rPr>
        <w:t xml:space="preserve"> </w:t>
      </w:r>
    </w:p>
    <w:p w14:paraId="02030904" w14:textId="77777777" w:rsidR="006A6A36" w:rsidRPr="00C93634" w:rsidRDefault="006A6A36" w:rsidP="006A6A36">
      <w:pPr>
        <w:ind w:left="-567" w:right="-801"/>
        <w:jc w:val="both"/>
        <w:textAlignment w:val="baseline"/>
      </w:pPr>
      <w:r w:rsidRPr="08BE3A98">
        <w:rPr>
          <w:rFonts w:ascii="Verdana" w:eastAsia="Verdana" w:hAnsi="Verdana" w:cs="Verdana"/>
          <w:b/>
          <w:bCs/>
          <w:sz w:val="20"/>
          <w:szCs w:val="20"/>
          <w:lang w:val="es"/>
        </w:rPr>
        <w:t xml:space="preserve">Comparar el poder adquisitivo de una región: </w:t>
      </w:r>
      <w:r w:rsidRPr="08BE3A98">
        <w:rPr>
          <w:rFonts w:ascii="Verdana" w:eastAsia="Verdana" w:hAnsi="Verdana" w:cs="Verdana"/>
          <w:sz w:val="20"/>
          <w:szCs w:val="20"/>
          <w:lang w:val="es"/>
        </w:rPr>
        <w:t>El IPC se utiliza como una medida estándar para comparar la inflación entre regiones. Esto es útil para entender cómo la economía de un país se está desempeñando en relación con sus contextos internos y para evaluar la competitividad internacional.</w:t>
      </w:r>
    </w:p>
    <w:p w14:paraId="497D81D2" w14:textId="77777777" w:rsidR="006A6A36" w:rsidRPr="00C93634" w:rsidRDefault="006A6A36" w:rsidP="006A6A36">
      <w:pPr>
        <w:ind w:left="-567" w:right="-801"/>
        <w:jc w:val="both"/>
        <w:textAlignment w:val="baseline"/>
      </w:pPr>
      <w:r w:rsidRPr="08BE3A98">
        <w:rPr>
          <w:rFonts w:ascii="Verdana" w:eastAsia="Verdana" w:hAnsi="Verdana" w:cs="Verdana"/>
          <w:sz w:val="20"/>
          <w:szCs w:val="20"/>
        </w:rPr>
        <w:t xml:space="preserve"> </w:t>
      </w:r>
    </w:p>
    <w:p w14:paraId="6EEA24F0" w14:textId="77777777" w:rsidR="006A6A36" w:rsidRPr="00C93634" w:rsidRDefault="006A6A36" w:rsidP="006A6A36">
      <w:pPr>
        <w:ind w:left="-567" w:right="-801"/>
        <w:jc w:val="both"/>
        <w:textAlignment w:val="baseline"/>
      </w:pPr>
      <w:r w:rsidRPr="08BE3A98">
        <w:rPr>
          <w:rFonts w:ascii="Verdana" w:eastAsia="Verdana" w:hAnsi="Verdana" w:cs="Verdana"/>
          <w:b/>
          <w:bCs/>
          <w:sz w:val="20"/>
          <w:szCs w:val="20"/>
          <w:lang w:val="es"/>
        </w:rPr>
        <w:t>Entender la evolución de la situación económica y proyectarla:</w:t>
      </w:r>
      <w:r w:rsidRPr="08BE3A98">
        <w:rPr>
          <w:rFonts w:ascii="Verdana" w:eastAsia="Verdana" w:hAnsi="Verdana" w:cs="Verdana"/>
          <w:sz w:val="20"/>
          <w:szCs w:val="20"/>
          <w:lang w:val="es"/>
        </w:rPr>
        <w:t xml:space="preserve"> El IPC proporciona información sobre la evolución de los precios en una economía en particular. Esto permite a los responsables de la política económica y a los analistas entender cómo están cambiando las condiciones económicas y proyectar posibles tendencias futuras. Por ejemplo, si el IPC muestra un aumento constante en los precios, esto puede indicar presiones inflacionarias que podrían requerir medidas de política monetaria por parte de las autoridades económicas.</w:t>
      </w:r>
    </w:p>
    <w:p w14:paraId="2797FF41" w14:textId="77777777" w:rsidR="006A6A36" w:rsidRPr="00C93634" w:rsidRDefault="006A6A36" w:rsidP="006A6A36">
      <w:pPr>
        <w:ind w:left="-567" w:right="-801"/>
        <w:jc w:val="both"/>
        <w:textAlignment w:val="baseline"/>
      </w:pPr>
      <w:r w:rsidRPr="08BE3A98">
        <w:rPr>
          <w:rFonts w:ascii="Verdana" w:eastAsia="Verdana" w:hAnsi="Verdana" w:cs="Verdana"/>
          <w:sz w:val="20"/>
          <w:szCs w:val="20"/>
          <w:lang w:val="es"/>
        </w:rPr>
        <w:t xml:space="preserve"> </w:t>
      </w:r>
      <w:r w:rsidRPr="08BE3A98">
        <w:rPr>
          <w:rFonts w:ascii="Verdana" w:eastAsia="Verdana" w:hAnsi="Verdana" w:cs="Verdana"/>
          <w:sz w:val="20"/>
          <w:szCs w:val="20"/>
        </w:rPr>
        <w:t xml:space="preserve"> </w:t>
      </w:r>
    </w:p>
    <w:p w14:paraId="0D282207"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sz w:val="20"/>
          <w:szCs w:val="20"/>
          <w:lang w:val="es-ES"/>
        </w:rPr>
        <w:lastRenderedPageBreak/>
        <w:t>En resumen, el IPC es una herramienta valiosa que no solo mide los cambios de precios y la inflación, sino que también permite comparaciones internacionales y ayuda a entender la evolución y proyección de la situación económica de un país.</w:t>
      </w:r>
      <w:r w:rsidRPr="0066662D">
        <w:rPr>
          <w:rFonts w:ascii="Verdana" w:eastAsia="Verdana" w:hAnsi="Verdana" w:cs="Verdana"/>
          <w:sz w:val="20"/>
          <w:szCs w:val="20"/>
        </w:rPr>
        <w:t> </w:t>
      </w:r>
    </w:p>
    <w:p w14:paraId="57AE2FF9"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sz w:val="20"/>
          <w:szCs w:val="20"/>
        </w:rPr>
        <w:t> </w:t>
      </w:r>
    </w:p>
    <w:p w14:paraId="50733D98"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noProof/>
          <w:sz w:val="20"/>
          <w:szCs w:val="20"/>
        </w:rPr>
        <w:drawing>
          <wp:inline distT="0" distB="0" distL="0" distR="0" wp14:anchorId="314E5DAD" wp14:editId="266C95D5">
            <wp:extent cx="5612130" cy="2225675"/>
            <wp:effectExtent l="0" t="0" r="7620" b="3175"/>
            <wp:docPr id="482012918" name="Imagen 4" descr="Escala de tie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012918" name="Imagen 4" descr="Escala de tiempo&#10;&#10;El contenido generado por IA puede ser incorrect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130" cy="2225675"/>
                    </a:xfrm>
                    <a:prstGeom prst="rect">
                      <a:avLst/>
                    </a:prstGeom>
                    <a:noFill/>
                    <a:ln>
                      <a:noFill/>
                    </a:ln>
                  </pic:spPr>
                </pic:pic>
              </a:graphicData>
            </a:graphic>
          </wp:inline>
        </w:drawing>
      </w:r>
      <w:r w:rsidRPr="0066662D">
        <w:rPr>
          <w:rFonts w:ascii="Verdana" w:eastAsia="Verdana" w:hAnsi="Verdana" w:cs="Verdana"/>
          <w:sz w:val="20"/>
          <w:szCs w:val="20"/>
        </w:rPr>
        <w:t> </w:t>
      </w:r>
    </w:p>
    <w:p w14:paraId="700EDDC3"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sz w:val="20"/>
          <w:szCs w:val="20"/>
        </w:rPr>
        <w:t> </w:t>
      </w:r>
    </w:p>
    <w:p w14:paraId="055E711D"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sz w:val="20"/>
          <w:szCs w:val="20"/>
          <w:lang w:val="es-ES"/>
        </w:rPr>
        <w:t>En diciembre de 2025 la variación anual del IPC fue 5,10%, y la variación mensual 0,27%.</w:t>
      </w:r>
      <w:r w:rsidRPr="0066662D">
        <w:rPr>
          <w:rFonts w:ascii="Verdana" w:eastAsia="Verdana" w:hAnsi="Verdana" w:cs="Verdana"/>
          <w:sz w:val="20"/>
          <w:szCs w:val="20"/>
        </w:rPr>
        <w:t> </w:t>
      </w:r>
    </w:p>
    <w:p w14:paraId="13260EF9"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sz w:val="20"/>
          <w:szCs w:val="20"/>
          <w:lang w:val="es-ES"/>
        </w:rPr>
        <w:t>En diciembre de 2025 la variación anual del IPC fue 5,10%, es decir, 0,10 puntos porcentuales menor que la reportada en el mismo periodo del año anterior, cuando fue de 5,20%.</w:t>
      </w:r>
      <w:r w:rsidRPr="0066662D">
        <w:rPr>
          <w:rFonts w:ascii="Verdana" w:eastAsia="Verdana" w:hAnsi="Verdana" w:cs="Verdana"/>
          <w:sz w:val="20"/>
          <w:szCs w:val="20"/>
        </w:rPr>
        <w:t> </w:t>
      </w:r>
    </w:p>
    <w:p w14:paraId="36192B18"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sz w:val="20"/>
          <w:szCs w:val="20"/>
          <w:lang w:val="es-ES"/>
        </w:rPr>
        <w:t>El comportamiento anual del IPC total en diciembre de 2025 (5,10%) se explicó principalmente por la variación anual de las divisiones Alojamiento, agua, electricidad, gas y otros combustibles y Alimentos y bebidas no alcohólicas.</w:t>
      </w:r>
      <w:r w:rsidRPr="0066662D">
        <w:rPr>
          <w:rFonts w:ascii="Verdana" w:eastAsia="Verdana" w:hAnsi="Verdana" w:cs="Verdana"/>
          <w:sz w:val="20"/>
          <w:szCs w:val="20"/>
        </w:rPr>
        <w:t> </w:t>
      </w:r>
    </w:p>
    <w:p w14:paraId="7E96F9E0"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sz w:val="20"/>
          <w:szCs w:val="20"/>
        </w:rPr>
        <w:t> </w:t>
      </w:r>
    </w:p>
    <w:p w14:paraId="00FD157E"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b/>
          <w:bCs/>
          <w:sz w:val="20"/>
          <w:szCs w:val="20"/>
        </w:rPr>
        <w:t>Variación y contribución mensual por divisiones de gasto</w:t>
      </w:r>
      <w:r w:rsidRPr="0066662D">
        <w:rPr>
          <w:rFonts w:ascii="Verdana" w:eastAsia="Verdana" w:hAnsi="Verdana" w:cs="Verdana"/>
          <w:sz w:val="20"/>
          <w:szCs w:val="20"/>
        </w:rPr>
        <w:t> </w:t>
      </w:r>
    </w:p>
    <w:p w14:paraId="082E33DB"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sz w:val="20"/>
          <w:szCs w:val="20"/>
        </w:rPr>
        <w:t> </w:t>
      </w:r>
    </w:p>
    <w:p w14:paraId="6F880B0F"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noProof/>
          <w:sz w:val="20"/>
          <w:szCs w:val="20"/>
        </w:rPr>
        <w:drawing>
          <wp:inline distT="0" distB="0" distL="0" distR="0" wp14:anchorId="2EBCDA02" wp14:editId="1E043919">
            <wp:extent cx="5612130" cy="2948940"/>
            <wp:effectExtent l="0" t="0" r="7620" b="3810"/>
            <wp:docPr id="470826127" name="Imagen 3"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826127" name="Imagen 3" descr="Tabla&#10;&#10;El contenido generado por IA puede ser incorrecto."/>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2130" cy="2948940"/>
                    </a:xfrm>
                    <a:prstGeom prst="rect">
                      <a:avLst/>
                    </a:prstGeom>
                    <a:noFill/>
                    <a:ln>
                      <a:noFill/>
                    </a:ln>
                  </pic:spPr>
                </pic:pic>
              </a:graphicData>
            </a:graphic>
          </wp:inline>
        </w:drawing>
      </w:r>
      <w:r w:rsidRPr="0066662D">
        <w:rPr>
          <w:rFonts w:ascii="Verdana" w:eastAsia="Verdana" w:hAnsi="Verdana" w:cs="Verdana"/>
          <w:sz w:val="20"/>
          <w:szCs w:val="20"/>
        </w:rPr>
        <w:t> </w:t>
      </w:r>
    </w:p>
    <w:p w14:paraId="511D3420"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sz w:val="20"/>
          <w:szCs w:val="20"/>
        </w:rPr>
        <w:lastRenderedPageBreak/>
        <w:t> </w:t>
      </w:r>
    </w:p>
    <w:p w14:paraId="6865809F"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sz w:val="20"/>
          <w:szCs w:val="20"/>
        </w:rPr>
        <w:t>En el mes de diciembre de 2025, el IPC registró una variación de 5,10% en comparación con diciembre de 2024. En el último año, las divisiones Restaurantes y hoteles (7,91%), Educación (7,36%), Salud (7,20%), Bebidas alcohólicas y tabaco (6,37%) y; por último, Transporte (5,35%) se ubicaron por encima del promedio nacional (5,10%). Entre tanto, las divisiones Alimentos y bebidas no alcohólicas (5,07%), Bienes y servicios diversos (4,97%), Alojamiento, agua, electricidad, gas y otros combustibles (4,76%), Muebles, artículos para el hogar y para la conservación ordinaria del hogar (3,31%), Prendas de vestir y calzado (2,12%), Recreación y cultura (1,85%) y; por último, Información y comunicación (1,22%) se ubicaron por debajo del promedio nacional. </w:t>
      </w:r>
    </w:p>
    <w:p w14:paraId="19043B2A"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sz w:val="20"/>
          <w:szCs w:val="20"/>
        </w:rPr>
        <w:t>Los mayores aportes a la variación anual se registraron en las divisiones de: Alojamiento, agua, electricidad, gas y otros combustibles, Alimentos y bebidas no alcohólicas, Restaurantes y hoteles, Transporte y Educación, las cuales en conjunto contribuyeron con 4,32 puntos porcentuales al acumulado anual de dicha variación. El comportamiento del Índice de Precios al Consumidor (IPC) al cierre de diciembre de 2025 evidencia un entorno inflacionario moderado pero persistente, con una variación anual del 5,10%, lo cual tiene implicaciones directas sobre la planeación y ejecución de procesos contractuales en el sector cultura. Aunque esta variación se ubica ligeramente por debajo del registro de 2024 (5,20%), continúa reflejando presiones sobre los costos operativos y logísticos asociados a la ejecución de proyectos culturales en territorio . </w:t>
      </w:r>
    </w:p>
    <w:p w14:paraId="525E8735"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sz w:val="20"/>
          <w:szCs w:val="20"/>
        </w:rPr>
        <w:t>Desde la perspectiva sectorial, resulta especialmente relevante que la división Recreación y cultura haya presentado una variación anual de 1,85%, ubicándose por debajo del promedio nacional. Este comportamiento indica que, en términos agregados, los bienes y servicios culturales han mostrado una menor presión inflacionaria frente a otros sectores de la economía, lo cual favorece la estabilidad relativa de los costos directamente asociados a actividades culturales. No obstante, esta lectura debe complementarse con el análisis de otras divisiones que inciden transversalmente en la ejecución contractual . </w:t>
      </w:r>
    </w:p>
    <w:p w14:paraId="0F75EB00"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sz w:val="20"/>
          <w:szCs w:val="20"/>
        </w:rPr>
        <w:t>En efecto, divisiones con fuerte impacto en los proyectos culturales, como Restaurantes y hoteles (7,91%), Transporte (5,35%), Salud (7,20%) y Educación (7,36%), se ubicaron por encima del promedio nacional, lo que implica mayores costos en aspectos clave como desplazamientos, alimentación, alojamiento de equipos técnicos, logística de eventos, procesos formativos y acompañamiento comunitario. Estas presiones inflacionarias inciden directamente en la estructura de costos de los contratos del sector cultura, particularmente aquellos ejecutados en zonas rurales, territorios étnicos o de difícil acceso . </w:t>
      </w:r>
    </w:p>
    <w:p w14:paraId="39C5244F"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sz w:val="20"/>
          <w:szCs w:val="20"/>
        </w:rPr>
        <w:t>Adicionalmente, el análisis mensual de diciembre de 2025 muestra una variación de 0,27%, impulsada principalmente por Restaurantes y hoteles, Transporte y Recreación y cultura, lo que evidencia que, incluso en el corto plazo, existen fluctuaciones que afectan la programación financiera y la ejecución oportuna de actividades culturales. Este comportamiento refuerza la necesidad de incorporar márgenes de contingencia y cronogramas flexibles en los procesos contractuales del sector . </w:t>
      </w:r>
    </w:p>
    <w:p w14:paraId="5B0EC536"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sz w:val="20"/>
          <w:szCs w:val="20"/>
        </w:rPr>
        <w:t>Desde el enfoque de contratación pública, el IPC constituye un insumo técnico clave para la justificación del valor del contrato, la definición de presupuestos oficiales y la evaluación de la razonabilidad económica de las propuestas. La variación anual del IPC del 5,10% respalda la necesidad de actualizar los valores contractuales frente a históricos, evitando análisis basados exclusivamente en promedios simples y reconociendo el efecto acumulado de la inflación sobre los costos reales de ejecución . </w:t>
      </w:r>
    </w:p>
    <w:p w14:paraId="60B092A4" w14:textId="77777777" w:rsidR="006A6A36" w:rsidRPr="0066662D" w:rsidRDefault="006A6A36" w:rsidP="006A6A36">
      <w:pPr>
        <w:ind w:left="-567" w:right="-801"/>
        <w:jc w:val="both"/>
        <w:textAlignment w:val="baseline"/>
        <w:rPr>
          <w:rFonts w:ascii="Verdana" w:eastAsia="Verdana" w:hAnsi="Verdana" w:cs="Verdana"/>
          <w:sz w:val="20"/>
          <w:szCs w:val="20"/>
        </w:rPr>
      </w:pPr>
      <w:r w:rsidRPr="0066662D">
        <w:rPr>
          <w:rFonts w:ascii="Verdana" w:eastAsia="Verdana" w:hAnsi="Verdana" w:cs="Verdana"/>
          <w:sz w:val="20"/>
          <w:szCs w:val="20"/>
        </w:rPr>
        <w:t xml:space="preserve">En conclusión, el comportamiento del IPC a diciembre de 2025 demuestra que, aunque el sector cultura presenta una inflación directa moderada, los componentes transversales que soportan la ejecución de los proyectos culturales sí enfrentan incrementos significativos, lo cual debe ser considerado de manera integral en los estudios de sector, en la estructuración presupuestal y en la </w:t>
      </w:r>
      <w:r w:rsidRPr="0066662D">
        <w:rPr>
          <w:rFonts w:ascii="Verdana" w:eastAsia="Verdana" w:hAnsi="Verdana" w:cs="Verdana"/>
          <w:sz w:val="20"/>
          <w:szCs w:val="20"/>
        </w:rPr>
        <w:lastRenderedPageBreak/>
        <w:t>determinación del valor de los contratos a celebrar, garantizando así la viabilidad financiera, la adecuada ejecución y el cumplimiento de los objetivos de salvaguardia cultural. </w:t>
      </w:r>
    </w:p>
    <w:p w14:paraId="70F6783D" w14:textId="77777777" w:rsidR="006A6A36" w:rsidRPr="00C93634" w:rsidRDefault="006A6A36" w:rsidP="006A6A36">
      <w:pPr>
        <w:pStyle w:val="Prrafodelista"/>
        <w:numPr>
          <w:ilvl w:val="1"/>
          <w:numId w:val="4"/>
        </w:numPr>
        <w:spacing w:after="240"/>
        <w:ind w:left="-567" w:right="-801"/>
        <w:jc w:val="both"/>
        <w:rPr>
          <w:rFonts w:ascii="Verdana" w:hAnsi="Verdana" w:cs="Segoe UI"/>
          <w:b/>
          <w:bCs/>
          <w:sz w:val="20"/>
          <w:szCs w:val="20"/>
          <w:lang w:val="es-ES" w:eastAsia="es-CO"/>
        </w:rPr>
      </w:pPr>
      <w:r w:rsidRPr="00C93634">
        <w:rPr>
          <w:rFonts w:ascii="Verdana" w:eastAsia="Verdana" w:hAnsi="Verdana" w:cs="Verdana"/>
          <w:b/>
          <w:bCs/>
          <w:sz w:val="20"/>
          <w:szCs w:val="20"/>
        </w:rPr>
        <w:t>Salario Mínimo Mensual Legal Vigente  </w:t>
      </w:r>
    </w:p>
    <w:p w14:paraId="3A6FB41F" w14:textId="77777777" w:rsidR="006A6A36" w:rsidRPr="00C93634" w:rsidRDefault="006A6A36" w:rsidP="006A6A36">
      <w:pPr>
        <w:ind w:left="-567" w:right="-801"/>
        <w:jc w:val="both"/>
        <w:textAlignment w:val="baseline"/>
        <w:rPr>
          <w:rFonts w:ascii="Verdana" w:hAnsi="Verdana" w:cs="Segoe UI"/>
          <w:sz w:val="20"/>
          <w:szCs w:val="20"/>
          <w:lang w:eastAsia="es-CO"/>
        </w:rPr>
      </w:pPr>
      <w:r w:rsidRPr="00C93634">
        <w:rPr>
          <w:rFonts w:ascii="Verdana" w:hAnsi="Verdana" w:cs="Segoe UI"/>
          <w:sz w:val="20"/>
          <w:szCs w:val="20"/>
          <w:lang w:val="es-ES" w:eastAsia="es-CO"/>
        </w:rPr>
        <w:t> </w:t>
      </w:r>
      <w:r w:rsidRPr="00C93634">
        <w:rPr>
          <w:rFonts w:ascii="Verdana" w:hAnsi="Verdana" w:cs="Segoe UI"/>
          <w:sz w:val="20"/>
          <w:szCs w:val="20"/>
          <w:lang w:eastAsia="es-CO"/>
        </w:rPr>
        <w:t> </w:t>
      </w:r>
    </w:p>
    <w:p w14:paraId="6A5DDBC1" w14:textId="77777777" w:rsidR="006A6A36" w:rsidRPr="00C93634" w:rsidRDefault="006A6A36" w:rsidP="006A6A36">
      <w:pPr>
        <w:ind w:left="-567" w:right="-801"/>
        <w:jc w:val="both"/>
        <w:textAlignment w:val="baseline"/>
        <w:rPr>
          <w:rFonts w:ascii="Verdana" w:hAnsi="Verdana" w:cs="Segoe UI"/>
          <w:sz w:val="20"/>
          <w:szCs w:val="20"/>
          <w:lang w:eastAsia="es-CO"/>
        </w:rPr>
      </w:pPr>
      <w:r w:rsidRPr="00C93634">
        <w:rPr>
          <w:rFonts w:ascii="Verdana" w:hAnsi="Verdana" w:cs="Segoe UI"/>
          <w:sz w:val="20"/>
          <w:szCs w:val="20"/>
          <w:lang w:val="es-ES" w:eastAsia="es-CO"/>
        </w:rPr>
        <w:t>El salario mínimo se define en Colombia, mediante Decreto Nacional, luego de las correspondientes deliberaciones entre el sector empresarial, gremio de trabajadores y el gobierno nacional.</w:t>
      </w:r>
      <w:r w:rsidRPr="00C93634">
        <w:rPr>
          <w:rFonts w:ascii="Verdana" w:hAnsi="Verdana" w:cs="Segoe UI"/>
          <w:sz w:val="20"/>
          <w:szCs w:val="20"/>
          <w:lang w:eastAsia="es-CO"/>
        </w:rPr>
        <w:t> </w:t>
      </w:r>
    </w:p>
    <w:p w14:paraId="2DC47ACB" w14:textId="77777777" w:rsidR="006A6A36" w:rsidRPr="00C93634" w:rsidRDefault="006A6A36" w:rsidP="006A6A36">
      <w:pPr>
        <w:ind w:left="-567" w:right="-801"/>
        <w:jc w:val="both"/>
        <w:textAlignment w:val="baseline"/>
        <w:rPr>
          <w:rFonts w:ascii="Verdana" w:hAnsi="Verdana" w:cs="Segoe UI"/>
          <w:sz w:val="20"/>
          <w:szCs w:val="20"/>
          <w:lang w:eastAsia="es-CO"/>
        </w:rPr>
      </w:pPr>
      <w:r w:rsidRPr="00C93634">
        <w:rPr>
          <w:rFonts w:ascii="Verdana" w:hAnsi="Verdana" w:cs="Segoe UI"/>
          <w:sz w:val="20"/>
          <w:szCs w:val="20"/>
          <w:lang w:val="es-ES" w:eastAsia="es-CO"/>
        </w:rPr>
        <w:t> </w:t>
      </w:r>
      <w:r w:rsidRPr="00C93634">
        <w:rPr>
          <w:rFonts w:ascii="Verdana" w:hAnsi="Verdana" w:cs="Segoe UI"/>
          <w:sz w:val="20"/>
          <w:szCs w:val="20"/>
          <w:lang w:eastAsia="es-CO"/>
        </w:rPr>
        <w:t> </w:t>
      </w:r>
    </w:p>
    <w:p w14:paraId="65A78500" w14:textId="77777777" w:rsidR="006A6A36" w:rsidRPr="00C93634" w:rsidRDefault="006A6A36" w:rsidP="006A6A36">
      <w:pPr>
        <w:ind w:left="-567" w:right="-801"/>
        <w:jc w:val="both"/>
        <w:textAlignment w:val="baseline"/>
        <w:rPr>
          <w:rFonts w:ascii="Verdana" w:hAnsi="Verdana" w:cs="Segoe UI"/>
          <w:sz w:val="20"/>
          <w:szCs w:val="20"/>
          <w:lang w:eastAsia="es-CO"/>
        </w:rPr>
      </w:pPr>
      <w:r w:rsidRPr="00C93634">
        <w:rPr>
          <w:rFonts w:ascii="Verdana" w:hAnsi="Verdana" w:cs="Segoe UI"/>
          <w:b/>
          <w:bCs/>
          <w:sz w:val="20"/>
          <w:szCs w:val="20"/>
          <w:lang w:val="es-ES" w:eastAsia="es-CO"/>
        </w:rPr>
        <w:t>Tabla No. 4. Variación del Salario Mínimo Mensual Legal Vigente 2014-2025</w:t>
      </w:r>
      <w:r w:rsidRPr="00C93634">
        <w:rPr>
          <w:rFonts w:ascii="Verdana" w:hAnsi="Verdana" w:cs="Segoe UI"/>
          <w:sz w:val="20"/>
          <w:szCs w:val="20"/>
          <w:lang w:eastAsia="es-CO"/>
        </w:rPr>
        <w:t> </w:t>
      </w:r>
    </w:p>
    <w:p w14:paraId="66A6473C" w14:textId="77777777" w:rsidR="006A6A36" w:rsidRPr="00C93634" w:rsidRDefault="006A6A36" w:rsidP="006A6A36">
      <w:pPr>
        <w:ind w:left="-567" w:right="-801"/>
        <w:jc w:val="both"/>
        <w:textAlignment w:val="baseline"/>
        <w:rPr>
          <w:rFonts w:ascii="Verdana" w:hAnsi="Verdana" w:cs="Segoe UI"/>
          <w:sz w:val="20"/>
          <w:szCs w:val="20"/>
          <w:lang w:eastAsia="es-CO"/>
        </w:rPr>
      </w:pPr>
      <w:r w:rsidRPr="00C93634">
        <w:rPr>
          <w:rFonts w:ascii="Verdana" w:hAnsi="Verdana" w:cs="Segoe UI"/>
          <w:sz w:val="20"/>
          <w:szCs w:val="20"/>
          <w:lang w:eastAsia="es-CO"/>
        </w:rPr>
        <w:t> </w:t>
      </w:r>
    </w:p>
    <w:p w14:paraId="1407BAC4" w14:textId="77777777" w:rsidR="006A6A36" w:rsidRDefault="006A6A36" w:rsidP="006A6A36">
      <w:pPr>
        <w:ind w:left="-567" w:right="-801"/>
        <w:jc w:val="center"/>
        <w:textAlignment w:val="baseline"/>
        <w:rPr>
          <w:rFonts w:ascii="Verdana" w:hAnsi="Verdana" w:cs="Segoe UI"/>
          <w:i/>
          <w:iCs/>
          <w:sz w:val="20"/>
          <w:szCs w:val="20"/>
          <w:lang w:val="es-ES" w:eastAsia="es-CO"/>
        </w:rPr>
      </w:pPr>
    </w:p>
    <w:tbl>
      <w:tblPr>
        <w:tblW w:w="906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06"/>
        <w:gridCol w:w="1448"/>
        <w:gridCol w:w="2506"/>
        <w:gridCol w:w="4004"/>
      </w:tblGrid>
      <w:tr w:rsidR="006A6A36" w:rsidRPr="001A3FFD" w14:paraId="024D2187" w14:textId="77777777" w:rsidTr="00815EC0">
        <w:trPr>
          <w:trHeight w:val="300"/>
        </w:trPr>
        <w:tc>
          <w:tcPr>
            <w:tcW w:w="1106"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794AF3F" w14:textId="77777777" w:rsidR="006A6A36" w:rsidRPr="001A3FFD" w:rsidRDefault="006A6A36" w:rsidP="00815EC0">
            <w:pPr>
              <w:jc w:val="center"/>
              <w:textAlignment w:val="baseline"/>
              <w:rPr>
                <w:rFonts w:ascii="Verdana" w:hAnsi="Verdana"/>
                <w:b/>
                <w:bCs/>
                <w:sz w:val="20"/>
                <w:szCs w:val="20"/>
                <w:lang w:eastAsia="es-CO"/>
              </w:rPr>
            </w:pPr>
            <w:r w:rsidRPr="001A3FFD">
              <w:rPr>
                <w:rFonts w:ascii="Verdana" w:hAnsi="Verdana"/>
                <w:b/>
                <w:bCs/>
                <w:sz w:val="20"/>
                <w:szCs w:val="20"/>
                <w:lang w:val="es-ES" w:eastAsia="es-CO"/>
              </w:rPr>
              <w:t>AÑO</w:t>
            </w:r>
            <w:r w:rsidRPr="001A3FFD">
              <w:rPr>
                <w:rFonts w:ascii="Verdana" w:hAnsi="Verdana"/>
                <w:b/>
                <w:bCs/>
                <w:sz w:val="20"/>
                <w:szCs w:val="20"/>
                <w:lang w:eastAsia="es-CO"/>
              </w:rPr>
              <w:t> </w:t>
            </w:r>
          </w:p>
        </w:tc>
        <w:tc>
          <w:tcPr>
            <w:tcW w:w="1448"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E13C6A5" w14:textId="77777777" w:rsidR="006A6A36" w:rsidRPr="001A3FFD" w:rsidRDefault="006A6A36" w:rsidP="00815EC0">
            <w:pPr>
              <w:jc w:val="center"/>
              <w:textAlignment w:val="baseline"/>
              <w:rPr>
                <w:rFonts w:ascii="Verdana" w:hAnsi="Verdana"/>
                <w:b/>
                <w:bCs/>
                <w:sz w:val="20"/>
                <w:szCs w:val="20"/>
                <w:lang w:eastAsia="es-CO"/>
              </w:rPr>
            </w:pPr>
            <w:r w:rsidRPr="001A3FFD">
              <w:rPr>
                <w:rFonts w:ascii="Verdana" w:hAnsi="Verdana"/>
                <w:b/>
                <w:bCs/>
                <w:sz w:val="20"/>
                <w:szCs w:val="20"/>
                <w:lang w:val="es-ES" w:eastAsia="es-CO"/>
              </w:rPr>
              <w:t>SMMLV</w:t>
            </w:r>
            <w:r w:rsidRPr="001A3FFD">
              <w:rPr>
                <w:rFonts w:ascii="Verdana" w:hAnsi="Verdana"/>
                <w:b/>
                <w:bCs/>
                <w:sz w:val="20"/>
                <w:szCs w:val="20"/>
                <w:lang w:eastAsia="es-CO"/>
              </w:rPr>
              <w:t> </w:t>
            </w:r>
          </w:p>
        </w:tc>
        <w:tc>
          <w:tcPr>
            <w:tcW w:w="2506"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7B8A214" w14:textId="77777777" w:rsidR="006A6A36" w:rsidRPr="001A3FFD" w:rsidRDefault="006A6A36" w:rsidP="00815EC0">
            <w:pPr>
              <w:jc w:val="center"/>
              <w:textAlignment w:val="baseline"/>
              <w:rPr>
                <w:rFonts w:ascii="Verdana" w:hAnsi="Verdana"/>
                <w:b/>
                <w:bCs/>
                <w:sz w:val="20"/>
                <w:szCs w:val="20"/>
                <w:lang w:eastAsia="es-CO"/>
              </w:rPr>
            </w:pPr>
            <w:r w:rsidRPr="001A3FFD">
              <w:rPr>
                <w:rFonts w:ascii="Verdana" w:hAnsi="Verdana"/>
                <w:b/>
                <w:bCs/>
                <w:sz w:val="20"/>
                <w:szCs w:val="20"/>
                <w:lang w:val="es-ES" w:eastAsia="es-CO"/>
              </w:rPr>
              <w:t>VARIACION % ANUAL</w:t>
            </w:r>
            <w:r w:rsidRPr="001A3FFD">
              <w:rPr>
                <w:rFonts w:ascii="Verdana" w:hAnsi="Verdana"/>
                <w:b/>
                <w:bCs/>
                <w:sz w:val="20"/>
                <w:szCs w:val="20"/>
                <w:lang w:eastAsia="es-CO"/>
              </w:rPr>
              <w:t> </w:t>
            </w:r>
          </w:p>
        </w:tc>
        <w:tc>
          <w:tcPr>
            <w:tcW w:w="4004"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12E8FBD" w14:textId="77777777" w:rsidR="006A6A36" w:rsidRPr="001A3FFD" w:rsidRDefault="006A6A36" w:rsidP="00815EC0">
            <w:pPr>
              <w:jc w:val="center"/>
              <w:textAlignment w:val="baseline"/>
              <w:rPr>
                <w:rFonts w:ascii="Verdana" w:hAnsi="Verdana"/>
                <w:b/>
                <w:bCs/>
                <w:sz w:val="20"/>
                <w:szCs w:val="20"/>
                <w:lang w:eastAsia="es-CO"/>
              </w:rPr>
            </w:pPr>
            <w:r w:rsidRPr="001A3FFD">
              <w:rPr>
                <w:rFonts w:ascii="Verdana" w:hAnsi="Verdana"/>
                <w:b/>
                <w:bCs/>
                <w:sz w:val="20"/>
                <w:szCs w:val="20"/>
                <w:lang w:val="es-ES" w:eastAsia="es-CO"/>
              </w:rPr>
              <w:t>DECRETO DEL GOBIERNO NACIONAL</w:t>
            </w:r>
            <w:r w:rsidRPr="001A3FFD">
              <w:rPr>
                <w:rFonts w:ascii="Verdana" w:hAnsi="Verdana"/>
                <w:b/>
                <w:bCs/>
                <w:sz w:val="20"/>
                <w:szCs w:val="20"/>
                <w:lang w:eastAsia="es-CO"/>
              </w:rPr>
              <w:t> </w:t>
            </w:r>
          </w:p>
        </w:tc>
      </w:tr>
      <w:tr w:rsidR="006A6A36" w:rsidRPr="001A3FFD" w14:paraId="6C1E297C" w14:textId="77777777" w:rsidTr="00815EC0">
        <w:trPr>
          <w:trHeight w:val="300"/>
        </w:trPr>
        <w:tc>
          <w:tcPr>
            <w:tcW w:w="1106" w:type="dxa"/>
            <w:tcBorders>
              <w:top w:val="single" w:sz="6" w:space="0" w:color="000000"/>
              <w:left w:val="single" w:sz="6" w:space="0" w:color="000000"/>
              <w:bottom w:val="single" w:sz="6" w:space="0" w:color="000000"/>
              <w:right w:val="single" w:sz="6" w:space="0" w:color="000000"/>
            </w:tcBorders>
            <w:vAlign w:val="center"/>
            <w:hideMark/>
          </w:tcPr>
          <w:p w14:paraId="640BDFAE"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2017</w:t>
            </w:r>
            <w:r w:rsidRPr="001A3FFD">
              <w:rPr>
                <w:rFonts w:ascii="Verdana" w:hAnsi="Verdana"/>
                <w:sz w:val="20"/>
                <w:szCs w:val="20"/>
                <w:lang w:eastAsia="es-CO"/>
              </w:rPr>
              <w:t> </w:t>
            </w:r>
          </w:p>
        </w:tc>
        <w:tc>
          <w:tcPr>
            <w:tcW w:w="1448" w:type="dxa"/>
            <w:tcBorders>
              <w:top w:val="single" w:sz="6" w:space="0" w:color="000000"/>
              <w:left w:val="single" w:sz="6" w:space="0" w:color="000000"/>
              <w:bottom w:val="single" w:sz="6" w:space="0" w:color="000000"/>
              <w:right w:val="single" w:sz="6" w:space="0" w:color="000000"/>
            </w:tcBorders>
            <w:vAlign w:val="center"/>
            <w:hideMark/>
          </w:tcPr>
          <w:p w14:paraId="3690F36D"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737.717</w:t>
            </w:r>
            <w:r w:rsidRPr="001A3FFD">
              <w:rPr>
                <w:rFonts w:ascii="Verdana" w:hAnsi="Verdana"/>
                <w:sz w:val="20"/>
                <w:szCs w:val="20"/>
                <w:lang w:eastAsia="es-CO"/>
              </w:rPr>
              <w:t> </w:t>
            </w:r>
          </w:p>
        </w:tc>
        <w:tc>
          <w:tcPr>
            <w:tcW w:w="2506" w:type="dxa"/>
            <w:tcBorders>
              <w:top w:val="single" w:sz="6" w:space="0" w:color="000000"/>
              <w:left w:val="single" w:sz="6" w:space="0" w:color="000000"/>
              <w:bottom w:val="single" w:sz="6" w:space="0" w:color="000000"/>
              <w:right w:val="single" w:sz="6" w:space="0" w:color="000000"/>
            </w:tcBorders>
            <w:vAlign w:val="center"/>
            <w:hideMark/>
          </w:tcPr>
          <w:p w14:paraId="71D76593"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7,00%</w:t>
            </w:r>
            <w:r w:rsidRPr="001A3FFD">
              <w:rPr>
                <w:rFonts w:ascii="Verdana" w:hAnsi="Verdana"/>
                <w:sz w:val="20"/>
                <w:szCs w:val="20"/>
                <w:lang w:eastAsia="es-CO"/>
              </w:rPr>
              <w:t> </w:t>
            </w:r>
          </w:p>
        </w:tc>
        <w:tc>
          <w:tcPr>
            <w:tcW w:w="4004" w:type="dxa"/>
            <w:tcBorders>
              <w:top w:val="single" w:sz="6" w:space="0" w:color="000000"/>
              <w:left w:val="single" w:sz="6" w:space="0" w:color="000000"/>
              <w:bottom w:val="single" w:sz="6" w:space="0" w:color="000000"/>
              <w:right w:val="single" w:sz="6" w:space="0" w:color="000000"/>
            </w:tcBorders>
            <w:vAlign w:val="center"/>
            <w:hideMark/>
          </w:tcPr>
          <w:p w14:paraId="6F60B575"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2209 del 30 de diciembre de 2016</w:t>
            </w:r>
            <w:r w:rsidRPr="001A3FFD">
              <w:rPr>
                <w:rFonts w:ascii="Verdana" w:hAnsi="Verdana"/>
                <w:sz w:val="20"/>
                <w:szCs w:val="20"/>
                <w:lang w:eastAsia="es-CO"/>
              </w:rPr>
              <w:t> </w:t>
            </w:r>
          </w:p>
        </w:tc>
      </w:tr>
      <w:tr w:rsidR="006A6A36" w:rsidRPr="001A3FFD" w14:paraId="2FB5E360" w14:textId="77777777" w:rsidTr="00815EC0">
        <w:trPr>
          <w:trHeight w:val="300"/>
        </w:trPr>
        <w:tc>
          <w:tcPr>
            <w:tcW w:w="1106" w:type="dxa"/>
            <w:tcBorders>
              <w:top w:val="single" w:sz="6" w:space="0" w:color="000000"/>
              <w:left w:val="single" w:sz="6" w:space="0" w:color="000000"/>
              <w:bottom w:val="single" w:sz="6" w:space="0" w:color="000000"/>
              <w:right w:val="single" w:sz="6" w:space="0" w:color="000000"/>
            </w:tcBorders>
            <w:vAlign w:val="center"/>
            <w:hideMark/>
          </w:tcPr>
          <w:p w14:paraId="5C2A6E1C"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2018</w:t>
            </w:r>
            <w:r w:rsidRPr="001A3FFD">
              <w:rPr>
                <w:rFonts w:ascii="Verdana" w:hAnsi="Verdana"/>
                <w:sz w:val="20"/>
                <w:szCs w:val="20"/>
                <w:lang w:eastAsia="es-CO"/>
              </w:rPr>
              <w:t> </w:t>
            </w:r>
          </w:p>
        </w:tc>
        <w:tc>
          <w:tcPr>
            <w:tcW w:w="1448" w:type="dxa"/>
            <w:tcBorders>
              <w:top w:val="single" w:sz="6" w:space="0" w:color="000000"/>
              <w:left w:val="single" w:sz="6" w:space="0" w:color="000000"/>
              <w:bottom w:val="single" w:sz="6" w:space="0" w:color="000000"/>
              <w:right w:val="single" w:sz="6" w:space="0" w:color="000000"/>
            </w:tcBorders>
            <w:vAlign w:val="center"/>
            <w:hideMark/>
          </w:tcPr>
          <w:p w14:paraId="62CF0FF2"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781.242</w:t>
            </w:r>
            <w:r w:rsidRPr="001A3FFD">
              <w:rPr>
                <w:rFonts w:ascii="Verdana" w:hAnsi="Verdana"/>
                <w:sz w:val="20"/>
                <w:szCs w:val="20"/>
                <w:lang w:eastAsia="es-CO"/>
              </w:rPr>
              <w:t> </w:t>
            </w:r>
          </w:p>
        </w:tc>
        <w:tc>
          <w:tcPr>
            <w:tcW w:w="2506" w:type="dxa"/>
            <w:tcBorders>
              <w:top w:val="single" w:sz="6" w:space="0" w:color="000000"/>
              <w:left w:val="single" w:sz="6" w:space="0" w:color="000000"/>
              <w:bottom w:val="single" w:sz="6" w:space="0" w:color="000000"/>
              <w:right w:val="single" w:sz="6" w:space="0" w:color="000000"/>
            </w:tcBorders>
            <w:vAlign w:val="center"/>
            <w:hideMark/>
          </w:tcPr>
          <w:p w14:paraId="3CA3A6B5"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5,90%</w:t>
            </w:r>
            <w:r w:rsidRPr="001A3FFD">
              <w:rPr>
                <w:rFonts w:ascii="Verdana" w:hAnsi="Verdana"/>
                <w:sz w:val="20"/>
                <w:szCs w:val="20"/>
                <w:lang w:eastAsia="es-CO"/>
              </w:rPr>
              <w:t> </w:t>
            </w:r>
          </w:p>
        </w:tc>
        <w:tc>
          <w:tcPr>
            <w:tcW w:w="4004" w:type="dxa"/>
            <w:tcBorders>
              <w:top w:val="single" w:sz="6" w:space="0" w:color="000000"/>
              <w:left w:val="single" w:sz="6" w:space="0" w:color="000000"/>
              <w:bottom w:val="single" w:sz="6" w:space="0" w:color="000000"/>
              <w:right w:val="single" w:sz="6" w:space="0" w:color="000000"/>
            </w:tcBorders>
            <w:vAlign w:val="center"/>
            <w:hideMark/>
          </w:tcPr>
          <w:p w14:paraId="6D3F47E4"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2269 del 30 de diciembre de 2017</w:t>
            </w:r>
            <w:r w:rsidRPr="001A3FFD">
              <w:rPr>
                <w:rFonts w:ascii="Verdana" w:hAnsi="Verdana"/>
                <w:sz w:val="20"/>
                <w:szCs w:val="20"/>
                <w:lang w:eastAsia="es-CO"/>
              </w:rPr>
              <w:t> </w:t>
            </w:r>
          </w:p>
        </w:tc>
      </w:tr>
      <w:tr w:rsidR="006A6A36" w:rsidRPr="001A3FFD" w14:paraId="69460939" w14:textId="77777777" w:rsidTr="00815EC0">
        <w:trPr>
          <w:trHeight w:val="300"/>
        </w:trPr>
        <w:tc>
          <w:tcPr>
            <w:tcW w:w="1106" w:type="dxa"/>
            <w:tcBorders>
              <w:top w:val="single" w:sz="6" w:space="0" w:color="000000"/>
              <w:left w:val="single" w:sz="6" w:space="0" w:color="000000"/>
              <w:bottom w:val="single" w:sz="6" w:space="0" w:color="000000"/>
              <w:right w:val="single" w:sz="6" w:space="0" w:color="000000"/>
            </w:tcBorders>
            <w:vAlign w:val="center"/>
            <w:hideMark/>
          </w:tcPr>
          <w:p w14:paraId="6FE0A2ED"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2019</w:t>
            </w:r>
            <w:r w:rsidRPr="001A3FFD">
              <w:rPr>
                <w:rFonts w:ascii="Verdana" w:hAnsi="Verdana"/>
                <w:sz w:val="20"/>
                <w:szCs w:val="20"/>
                <w:lang w:eastAsia="es-CO"/>
              </w:rPr>
              <w:t> </w:t>
            </w:r>
          </w:p>
        </w:tc>
        <w:tc>
          <w:tcPr>
            <w:tcW w:w="1448" w:type="dxa"/>
            <w:tcBorders>
              <w:top w:val="single" w:sz="6" w:space="0" w:color="000000"/>
              <w:left w:val="single" w:sz="6" w:space="0" w:color="000000"/>
              <w:bottom w:val="single" w:sz="6" w:space="0" w:color="000000"/>
              <w:right w:val="single" w:sz="6" w:space="0" w:color="000000"/>
            </w:tcBorders>
            <w:vAlign w:val="center"/>
            <w:hideMark/>
          </w:tcPr>
          <w:p w14:paraId="17D76220"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828.116</w:t>
            </w:r>
            <w:r w:rsidRPr="001A3FFD">
              <w:rPr>
                <w:rFonts w:ascii="Verdana" w:hAnsi="Verdana"/>
                <w:sz w:val="20"/>
                <w:szCs w:val="20"/>
                <w:lang w:eastAsia="es-CO"/>
              </w:rPr>
              <w:t> </w:t>
            </w:r>
          </w:p>
        </w:tc>
        <w:tc>
          <w:tcPr>
            <w:tcW w:w="2506" w:type="dxa"/>
            <w:tcBorders>
              <w:top w:val="single" w:sz="6" w:space="0" w:color="000000"/>
              <w:left w:val="single" w:sz="6" w:space="0" w:color="000000"/>
              <w:bottom w:val="single" w:sz="6" w:space="0" w:color="000000"/>
              <w:right w:val="single" w:sz="6" w:space="0" w:color="000000"/>
            </w:tcBorders>
            <w:vAlign w:val="center"/>
            <w:hideMark/>
          </w:tcPr>
          <w:p w14:paraId="3CDC1B33"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6,00%</w:t>
            </w:r>
            <w:r w:rsidRPr="001A3FFD">
              <w:rPr>
                <w:rFonts w:ascii="Verdana" w:hAnsi="Verdana"/>
                <w:sz w:val="20"/>
                <w:szCs w:val="20"/>
                <w:lang w:eastAsia="es-CO"/>
              </w:rPr>
              <w:t> </w:t>
            </w:r>
          </w:p>
        </w:tc>
        <w:tc>
          <w:tcPr>
            <w:tcW w:w="4004" w:type="dxa"/>
            <w:tcBorders>
              <w:top w:val="single" w:sz="6" w:space="0" w:color="000000"/>
              <w:left w:val="single" w:sz="6" w:space="0" w:color="000000"/>
              <w:bottom w:val="single" w:sz="6" w:space="0" w:color="000000"/>
              <w:right w:val="single" w:sz="6" w:space="0" w:color="000000"/>
            </w:tcBorders>
            <w:vAlign w:val="center"/>
            <w:hideMark/>
          </w:tcPr>
          <w:p w14:paraId="630C487F"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2451 del 27 de diciembre de 2018</w:t>
            </w:r>
            <w:r w:rsidRPr="001A3FFD">
              <w:rPr>
                <w:rFonts w:ascii="Verdana" w:hAnsi="Verdana"/>
                <w:sz w:val="20"/>
                <w:szCs w:val="20"/>
                <w:lang w:eastAsia="es-CO"/>
              </w:rPr>
              <w:t> </w:t>
            </w:r>
          </w:p>
        </w:tc>
      </w:tr>
      <w:tr w:rsidR="006A6A36" w:rsidRPr="001A3FFD" w14:paraId="30742C76" w14:textId="77777777" w:rsidTr="00815EC0">
        <w:trPr>
          <w:trHeight w:val="300"/>
        </w:trPr>
        <w:tc>
          <w:tcPr>
            <w:tcW w:w="1106" w:type="dxa"/>
            <w:tcBorders>
              <w:top w:val="single" w:sz="6" w:space="0" w:color="000000"/>
              <w:left w:val="single" w:sz="6" w:space="0" w:color="000000"/>
              <w:bottom w:val="single" w:sz="6" w:space="0" w:color="000000"/>
              <w:right w:val="single" w:sz="6" w:space="0" w:color="000000"/>
            </w:tcBorders>
            <w:vAlign w:val="center"/>
            <w:hideMark/>
          </w:tcPr>
          <w:p w14:paraId="3EDCCEC9"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2020</w:t>
            </w:r>
            <w:r w:rsidRPr="001A3FFD">
              <w:rPr>
                <w:rFonts w:ascii="Verdana" w:hAnsi="Verdana"/>
                <w:sz w:val="20"/>
                <w:szCs w:val="20"/>
                <w:lang w:eastAsia="es-CO"/>
              </w:rPr>
              <w:t> </w:t>
            </w:r>
          </w:p>
        </w:tc>
        <w:tc>
          <w:tcPr>
            <w:tcW w:w="1448" w:type="dxa"/>
            <w:tcBorders>
              <w:top w:val="single" w:sz="6" w:space="0" w:color="000000"/>
              <w:left w:val="single" w:sz="6" w:space="0" w:color="000000"/>
              <w:bottom w:val="single" w:sz="6" w:space="0" w:color="000000"/>
              <w:right w:val="single" w:sz="6" w:space="0" w:color="000000"/>
            </w:tcBorders>
            <w:vAlign w:val="center"/>
            <w:hideMark/>
          </w:tcPr>
          <w:p w14:paraId="37F5D142"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877.803</w:t>
            </w:r>
            <w:r w:rsidRPr="001A3FFD">
              <w:rPr>
                <w:rFonts w:ascii="Verdana" w:hAnsi="Verdana"/>
                <w:sz w:val="20"/>
                <w:szCs w:val="20"/>
                <w:lang w:eastAsia="es-CO"/>
              </w:rPr>
              <w:t> </w:t>
            </w:r>
          </w:p>
        </w:tc>
        <w:tc>
          <w:tcPr>
            <w:tcW w:w="2506" w:type="dxa"/>
            <w:tcBorders>
              <w:top w:val="single" w:sz="6" w:space="0" w:color="000000"/>
              <w:left w:val="single" w:sz="6" w:space="0" w:color="000000"/>
              <w:bottom w:val="single" w:sz="6" w:space="0" w:color="000000"/>
              <w:right w:val="single" w:sz="6" w:space="0" w:color="000000"/>
            </w:tcBorders>
            <w:vAlign w:val="center"/>
            <w:hideMark/>
          </w:tcPr>
          <w:p w14:paraId="6C699B74"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6,00%</w:t>
            </w:r>
            <w:r w:rsidRPr="001A3FFD">
              <w:rPr>
                <w:rFonts w:ascii="Verdana" w:hAnsi="Verdana"/>
                <w:sz w:val="20"/>
                <w:szCs w:val="20"/>
                <w:lang w:eastAsia="es-CO"/>
              </w:rPr>
              <w:t> </w:t>
            </w:r>
          </w:p>
        </w:tc>
        <w:tc>
          <w:tcPr>
            <w:tcW w:w="4004" w:type="dxa"/>
            <w:tcBorders>
              <w:top w:val="single" w:sz="6" w:space="0" w:color="000000"/>
              <w:left w:val="single" w:sz="6" w:space="0" w:color="000000"/>
              <w:bottom w:val="single" w:sz="6" w:space="0" w:color="000000"/>
              <w:right w:val="single" w:sz="6" w:space="0" w:color="000000"/>
            </w:tcBorders>
            <w:vAlign w:val="center"/>
            <w:hideMark/>
          </w:tcPr>
          <w:p w14:paraId="2A7DA01C"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2360 del 26 de diciembre de 2019</w:t>
            </w:r>
            <w:r w:rsidRPr="001A3FFD">
              <w:rPr>
                <w:rFonts w:ascii="Verdana" w:hAnsi="Verdana"/>
                <w:sz w:val="20"/>
                <w:szCs w:val="20"/>
                <w:lang w:eastAsia="es-CO"/>
              </w:rPr>
              <w:t> </w:t>
            </w:r>
          </w:p>
        </w:tc>
      </w:tr>
      <w:tr w:rsidR="006A6A36" w:rsidRPr="001A3FFD" w14:paraId="56F0E31C" w14:textId="77777777" w:rsidTr="00815EC0">
        <w:trPr>
          <w:trHeight w:val="300"/>
        </w:trPr>
        <w:tc>
          <w:tcPr>
            <w:tcW w:w="1106" w:type="dxa"/>
            <w:tcBorders>
              <w:top w:val="single" w:sz="6" w:space="0" w:color="000000"/>
              <w:left w:val="single" w:sz="6" w:space="0" w:color="000000"/>
              <w:bottom w:val="single" w:sz="6" w:space="0" w:color="000000"/>
              <w:right w:val="single" w:sz="6" w:space="0" w:color="000000"/>
            </w:tcBorders>
            <w:vAlign w:val="center"/>
            <w:hideMark/>
          </w:tcPr>
          <w:p w14:paraId="73DA7FFC"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2021</w:t>
            </w:r>
            <w:r w:rsidRPr="001A3FFD">
              <w:rPr>
                <w:rFonts w:ascii="Verdana" w:hAnsi="Verdana"/>
                <w:sz w:val="20"/>
                <w:szCs w:val="20"/>
                <w:lang w:eastAsia="es-CO"/>
              </w:rPr>
              <w:t> </w:t>
            </w:r>
          </w:p>
        </w:tc>
        <w:tc>
          <w:tcPr>
            <w:tcW w:w="1448" w:type="dxa"/>
            <w:tcBorders>
              <w:top w:val="single" w:sz="6" w:space="0" w:color="000000"/>
              <w:left w:val="single" w:sz="6" w:space="0" w:color="000000"/>
              <w:bottom w:val="single" w:sz="6" w:space="0" w:color="000000"/>
              <w:right w:val="single" w:sz="6" w:space="0" w:color="000000"/>
            </w:tcBorders>
            <w:vAlign w:val="center"/>
            <w:hideMark/>
          </w:tcPr>
          <w:p w14:paraId="206CCD93"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908.526</w:t>
            </w:r>
            <w:r w:rsidRPr="001A3FFD">
              <w:rPr>
                <w:rFonts w:ascii="Verdana" w:hAnsi="Verdana"/>
                <w:sz w:val="20"/>
                <w:szCs w:val="20"/>
                <w:lang w:eastAsia="es-CO"/>
              </w:rPr>
              <w:t> </w:t>
            </w:r>
          </w:p>
        </w:tc>
        <w:tc>
          <w:tcPr>
            <w:tcW w:w="2506" w:type="dxa"/>
            <w:tcBorders>
              <w:top w:val="single" w:sz="6" w:space="0" w:color="000000"/>
              <w:left w:val="single" w:sz="6" w:space="0" w:color="000000"/>
              <w:bottom w:val="single" w:sz="6" w:space="0" w:color="000000"/>
              <w:right w:val="single" w:sz="6" w:space="0" w:color="000000"/>
            </w:tcBorders>
            <w:vAlign w:val="center"/>
            <w:hideMark/>
          </w:tcPr>
          <w:p w14:paraId="091750F4"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3,50%</w:t>
            </w:r>
            <w:r w:rsidRPr="001A3FFD">
              <w:rPr>
                <w:rFonts w:ascii="Verdana" w:hAnsi="Verdana"/>
                <w:sz w:val="20"/>
                <w:szCs w:val="20"/>
                <w:lang w:eastAsia="es-CO"/>
              </w:rPr>
              <w:t> </w:t>
            </w:r>
          </w:p>
        </w:tc>
        <w:tc>
          <w:tcPr>
            <w:tcW w:w="4004" w:type="dxa"/>
            <w:tcBorders>
              <w:top w:val="single" w:sz="6" w:space="0" w:color="000000"/>
              <w:left w:val="single" w:sz="6" w:space="0" w:color="000000"/>
              <w:bottom w:val="single" w:sz="6" w:space="0" w:color="000000"/>
              <w:right w:val="single" w:sz="6" w:space="0" w:color="000000"/>
            </w:tcBorders>
            <w:vAlign w:val="center"/>
            <w:hideMark/>
          </w:tcPr>
          <w:p w14:paraId="5E895E3B"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1785 del 29 de diciembre de 2020</w:t>
            </w:r>
            <w:r w:rsidRPr="001A3FFD">
              <w:rPr>
                <w:rFonts w:ascii="Verdana" w:hAnsi="Verdana"/>
                <w:sz w:val="20"/>
                <w:szCs w:val="20"/>
                <w:lang w:eastAsia="es-CO"/>
              </w:rPr>
              <w:t> </w:t>
            </w:r>
          </w:p>
        </w:tc>
      </w:tr>
      <w:tr w:rsidR="006A6A36" w:rsidRPr="001A3FFD" w14:paraId="6D653DDC" w14:textId="77777777" w:rsidTr="00815EC0">
        <w:trPr>
          <w:trHeight w:val="300"/>
        </w:trPr>
        <w:tc>
          <w:tcPr>
            <w:tcW w:w="1106" w:type="dxa"/>
            <w:tcBorders>
              <w:top w:val="single" w:sz="6" w:space="0" w:color="000000"/>
              <w:left w:val="single" w:sz="6" w:space="0" w:color="000000"/>
              <w:bottom w:val="single" w:sz="6" w:space="0" w:color="000000"/>
              <w:right w:val="single" w:sz="6" w:space="0" w:color="000000"/>
            </w:tcBorders>
            <w:vAlign w:val="center"/>
            <w:hideMark/>
          </w:tcPr>
          <w:p w14:paraId="724595AA"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2022</w:t>
            </w:r>
            <w:r w:rsidRPr="001A3FFD">
              <w:rPr>
                <w:rFonts w:ascii="Verdana" w:hAnsi="Verdana"/>
                <w:sz w:val="20"/>
                <w:szCs w:val="20"/>
                <w:lang w:eastAsia="es-CO"/>
              </w:rPr>
              <w:t> </w:t>
            </w:r>
          </w:p>
        </w:tc>
        <w:tc>
          <w:tcPr>
            <w:tcW w:w="1448" w:type="dxa"/>
            <w:tcBorders>
              <w:top w:val="single" w:sz="6" w:space="0" w:color="000000"/>
              <w:left w:val="single" w:sz="6" w:space="0" w:color="000000"/>
              <w:bottom w:val="single" w:sz="6" w:space="0" w:color="000000"/>
              <w:right w:val="single" w:sz="6" w:space="0" w:color="000000"/>
            </w:tcBorders>
            <w:vAlign w:val="center"/>
            <w:hideMark/>
          </w:tcPr>
          <w:p w14:paraId="728B9B8F"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1.000.000</w:t>
            </w:r>
            <w:r w:rsidRPr="001A3FFD">
              <w:rPr>
                <w:rFonts w:ascii="Verdana" w:hAnsi="Verdana"/>
                <w:sz w:val="20"/>
                <w:szCs w:val="20"/>
                <w:lang w:eastAsia="es-CO"/>
              </w:rPr>
              <w:t> </w:t>
            </w:r>
          </w:p>
        </w:tc>
        <w:tc>
          <w:tcPr>
            <w:tcW w:w="2506" w:type="dxa"/>
            <w:tcBorders>
              <w:top w:val="single" w:sz="6" w:space="0" w:color="000000"/>
              <w:left w:val="single" w:sz="6" w:space="0" w:color="000000"/>
              <w:bottom w:val="single" w:sz="6" w:space="0" w:color="000000"/>
              <w:right w:val="single" w:sz="6" w:space="0" w:color="000000"/>
            </w:tcBorders>
            <w:vAlign w:val="center"/>
            <w:hideMark/>
          </w:tcPr>
          <w:p w14:paraId="70DBA014"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10,07%</w:t>
            </w:r>
            <w:r w:rsidRPr="001A3FFD">
              <w:rPr>
                <w:rFonts w:ascii="Verdana" w:hAnsi="Verdana"/>
                <w:sz w:val="20"/>
                <w:szCs w:val="20"/>
                <w:lang w:eastAsia="es-CO"/>
              </w:rPr>
              <w:t> </w:t>
            </w:r>
          </w:p>
        </w:tc>
        <w:tc>
          <w:tcPr>
            <w:tcW w:w="4004" w:type="dxa"/>
            <w:tcBorders>
              <w:top w:val="single" w:sz="6" w:space="0" w:color="000000"/>
              <w:left w:val="single" w:sz="6" w:space="0" w:color="000000"/>
              <w:bottom w:val="single" w:sz="6" w:space="0" w:color="000000"/>
              <w:right w:val="single" w:sz="6" w:space="0" w:color="000000"/>
            </w:tcBorders>
            <w:vAlign w:val="center"/>
            <w:hideMark/>
          </w:tcPr>
          <w:p w14:paraId="34990518"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1724 del 15 de diciembre de 2021</w:t>
            </w:r>
            <w:r w:rsidRPr="001A3FFD">
              <w:rPr>
                <w:rFonts w:ascii="Verdana" w:hAnsi="Verdana"/>
                <w:sz w:val="20"/>
                <w:szCs w:val="20"/>
                <w:lang w:eastAsia="es-CO"/>
              </w:rPr>
              <w:t> </w:t>
            </w:r>
          </w:p>
        </w:tc>
      </w:tr>
      <w:tr w:rsidR="006A6A36" w:rsidRPr="001A3FFD" w14:paraId="442D07B9" w14:textId="77777777" w:rsidTr="00815EC0">
        <w:trPr>
          <w:trHeight w:val="300"/>
        </w:trPr>
        <w:tc>
          <w:tcPr>
            <w:tcW w:w="1106" w:type="dxa"/>
            <w:tcBorders>
              <w:top w:val="single" w:sz="6" w:space="0" w:color="000000"/>
              <w:left w:val="single" w:sz="6" w:space="0" w:color="000000"/>
              <w:bottom w:val="single" w:sz="6" w:space="0" w:color="000000"/>
              <w:right w:val="single" w:sz="6" w:space="0" w:color="000000"/>
            </w:tcBorders>
            <w:vAlign w:val="center"/>
            <w:hideMark/>
          </w:tcPr>
          <w:p w14:paraId="60032073"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2023</w:t>
            </w:r>
            <w:r w:rsidRPr="001A3FFD">
              <w:rPr>
                <w:rFonts w:ascii="Verdana" w:hAnsi="Verdana"/>
                <w:sz w:val="20"/>
                <w:szCs w:val="20"/>
                <w:lang w:eastAsia="es-CO"/>
              </w:rPr>
              <w:t> </w:t>
            </w:r>
          </w:p>
        </w:tc>
        <w:tc>
          <w:tcPr>
            <w:tcW w:w="1448" w:type="dxa"/>
            <w:tcBorders>
              <w:top w:val="single" w:sz="6" w:space="0" w:color="000000"/>
              <w:left w:val="single" w:sz="6" w:space="0" w:color="000000"/>
              <w:bottom w:val="single" w:sz="6" w:space="0" w:color="000000"/>
              <w:right w:val="single" w:sz="6" w:space="0" w:color="000000"/>
            </w:tcBorders>
            <w:vAlign w:val="center"/>
            <w:hideMark/>
          </w:tcPr>
          <w:p w14:paraId="7300BB9C"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1.160.000</w:t>
            </w:r>
            <w:r w:rsidRPr="001A3FFD">
              <w:rPr>
                <w:rFonts w:ascii="Verdana" w:hAnsi="Verdana"/>
                <w:sz w:val="20"/>
                <w:szCs w:val="20"/>
                <w:lang w:eastAsia="es-CO"/>
              </w:rPr>
              <w:t> </w:t>
            </w:r>
          </w:p>
        </w:tc>
        <w:tc>
          <w:tcPr>
            <w:tcW w:w="2506" w:type="dxa"/>
            <w:tcBorders>
              <w:top w:val="single" w:sz="6" w:space="0" w:color="000000"/>
              <w:left w:val="single" w:sz="6" w:space="0" w:color="000000"/>
              <w:bottom w:val="single" w:sz="6" w:space="0" w:color="000000"/>
              <w:right w:val="single" w:sz="6" w:space="0" w:color="000000"/>
            </w:tcBorders>
            <w:vAlign w:val="center"/>
            <w:hideMark/>
          </w:tcPr>
          <w:p w14:paraId="7E2A35B9"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16,00%</w:t>
            </w:r>
            <w:r w:rsidRPr="001A3FFD">
              <w:rPr>
                <w:rFonts w:ascii="Verdana" w:hAnsi="Verdana"/>
                <w:sz w:val="20"/>
                <w:szCs w:val="20"/>
                <w:lang w:eastAsia="es-CO"/>
              </w:rPr>
              <w:t> </w:t>
            </w:r>
          </w:p>
        </w:tc>
        <w:tc>
          <w:tcPr>
            <w:tcW w:w="4004" w:type="dxa"/>
            <w:tcBorders>
              <w:top w:val="single" w:sz="6" w:space="0" w:color="000000"/>
              <w:left w:val="single" w:sz="6" w:space="0" w:color="000000"/>
              <w:bottom w:val="single" w:sz="6" w:space="0" w:color="000000"/>
              <w:right w:val="single" w:sz="6" w:space="0" w:color="000000"/>
            </w:tcBorders>
            <w:vAlign w:val="center"/>
            <w:hideMark/>
          </w:tcPr>
          <w:p w14:paraId="345BE355"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Decreto 2613 de 2022</w:t>
            </w:r>
            <w:r w:rsidRPr="001A3FFD">
              <w:rPr>
                <w:rFonts w:ascii="Verdana" w:hAnsi="Verdana"/>
                <w:sz w:val="20"/>
                <w:szCs w:val="20"/>
                <w:lang w:eastAsia="es-CO"/>
              </w:rPr>
              <w:t> </w:t>
            </w:r>
          </w:p>
        </w:tc>
      </w:tr>
      <w:tr w:rsidR="006A6A36" w:rsidRPr="001A3FFD" w14:paraId="7C3FDFD4" w14:textId="77777777" w:rsidTr="00815EC0">
        <w:trPr>
          <w:trHeight w:val="300"/>
        </w:trPr>
        <w:tc>
          <w:tcPr>
            <w:tcW w:w="1106" w:type="dxa"/>
            <w:tcBorders>
              <w:top w:val="single" w:sz="6" w:space="0" w:color="000000"/>
              <w:left w:val="single" w:sz="6" w:space="0" w:color="000000"/>
              <w:bottom w:val="single" w:sz="6" w:space="0" w:color="000000"/>
              <w:right w:val="single" w:sz="6" w:space="0" w:color="000000"/>
            </w:tcBorders>
            <w:vAlign w:val="center"/>
            <w:hideMark/>
          </w:tcPr>
          <w:p w14:paraId="0E8E27DD"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2024</w:t>
            </w:r>
            <w:r w:rsidRPr="001A3FFD">
              <w:rPr>
                <w:rFonts w:ascii="Verdana" w:hAnsi="Verdana"/>
                <w:sz w:val="20"/>
                <w:szCs w:val="20"/>
                <w:lang w:eastAsia="es-CO"/>
              </w:rPr>
              <w:t> </w:t>
            </w:r>
          </w:p>
        </w:tc>
        <w:tc>
          <w:tcPr>
            <w:tcW w:w="1448" w:type="dxa"/>
            <w:tcBorders>
              <w:top w:val="single" w:sz="6" w:space="0" w:color="000000"/>
              <w:left w:val="single" w:sz="6" w:space="0" w:color="000000"/>
              <w:bottom w:val="single" w:sz="6" w:space="0" w:color="000000"/>
              <w:right w:val="single" w:sz="6" w:space="0" w:color="000000"/>
            </w:tcBorders>
            <w:vAlign w:val="center"/>
            <w:hideMark/>
          </w:tcPr>
          <w:p w14:paraId="7E9C1316"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1.300.000</w:t>
            </w:r>
            <w:r w:rsidRPr="001A3FFD">
              <w:rPr>
                <w:rFonts w:ascii="Verdana" w:hAnsi="Verdana"/>
                <w:sz w:val="20"/>
                <w:szCs w:val="20"/>
                <w:lang w:eastAsia="es-CO"/>
              </w:rPr>
              <w:t> </w:t>
            </w:r>
          </w:p>
        </w:tc>
        <w:tc>
          <w:tcPr>
            <w:tcW w:w="2506" w:type="dxa"/>
            <w:tcBorders>
              <w:top w:val="single" w:sz="6" w:space="0" w:color="000000"/>
              <w:left w:val="single" w:sz="6" w:space="0" w:color="000000"/>
              <w:bottom w:val="single" w:sz="6" w:space="0" w:color="000000"/>
              <w:right w:val="single" w:sz="6" w:space="0" w:color="000000"/>
            </w:tcBorders>
            <w:vAlign w:val="center"/>
            <w:hideMark/>
          </w:tcPr>
          <w:p w14:paraId="44952FF9"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12%</w:t>
            </w:r>
            <w:r w:rsidRPr="001A3FFD">
              <w:rPr>
                <w:rFonts w:ascii="Verdana" w:hAnsi="Verdana"/>
                <w:sz w:val="20"/>
                <w:szCs w:val="20"/>
                <w:lang w:eastAsia="es-CO"/>
              </w:rPr>
              <w:t> </w:t>
            </w:r>
          </w:p>
        </w:tc>
        <w:tc>
          <w:tcPr>
            <w:tcW w:w="4004" w:type="dxa"/>
            <w:tcBorders>
              <w:top w:val="single" w:sz="6" w:space="0" w:color="000000"/>
              <w:left w:val="single" w:sz="6" w:space="0" w:color="000000"/>
              <w:bottom w:val="single" w:sz="6" w:space="0" w:color="000000"/>
              <w:right w:val="single" w:sz="6" w:space="0" w:color="000000"/>
            </w:tcBorders>
            <w:vAlign w:val="center"/>
            <w:hideMark/>
          </w:tcPr>
          <w:p w14:paraId="2A5E3C66"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Decreto 2292 del 29 de 2023</w:t>
            </w:r>
            <w:r w:rsidRPr="001A3FFD">
              <w:rPr>
                <w:rFonts w:ascii="Verdana" w:hAnsi="Verdana"/>
                <w:sz w:val="20"/>
                <w:szCs w:val="20"/>
                <w:lang w:eastAsia="es-CO"/>
              </w:rPr>
              <w:t> </w:t>
            </w:r>
          </w:p>
        </w:tc>
      </w:tr>
      <w:tr w:rsidR="006A6A36" w:rsidRPr="001A3FFD" w14:paraId="07A41305" w14:textId="77777777" w:rsidTr="00815EC0">
        <w:trPr>
          <w:trHeight w:val="300"/>
        </w:trPr>
        <w:tc>
          <w:tcPr>
            <w:tcW w:w="1106" w:type="dxa"/>
            <w:tcBorders>
              <w:top w:val="single" w:sz="6" w:space="0" w:color="000000"/>
              <w:left w:val="single" w:sz="6" w:space="0" w:color="000000"/>
              <w:bottom w:val="single" w:sz="6" w:space="0" w:color="000000"/>
              <w:right w:val="single" w:sz="6" w:space="0" w:color="000000"/>
            </w:tcBorders>
            <w:vAlign w:val="center"/>
            <w:hideMark/>
          </w:tcPr>
          <w:p w14:paraId="397AD2DC"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2025</w:t>
            </w:r>
            <w:r w:rsidRPr="001A3FFD">
              <w:rPr>
                <w:rFonts w:ascii="Verdana" w:hAnsi="Verdana"/>
                <w:sz w:val="20"/>
                <w:szCs w:val="20"/>
                <w:lang w:eastAsia="es-CO"/>
              </w:rPr>
              <w:t> </w:t>
            </w:r>
          </w:p>
        </w:tc>
        <w:tc>
          <w:tcPr>
            <w:tcW w:w="1448" w:type="dxa"/>
            <w:tcBorders>
              <w:top w:val="single" w:sz="6" w:space="0" w:color="000000"/>
              <w:left w:val="single" w:sz="6" w:space="0" w:color="000000"/>
              <w:bottom w:val="single" w:sz="6" w:space="0" w:color="000000"/>
              <w:right w:val="single" w:sz="6" w:space="0" w:color="000000"/>
            </w:tcBorders>
            <w:vAlign w:val="center"/>
            <w:hideMark/>
          </w:tcPr>
          <w:p w14:paraId="37F80BBA"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1.423.500</w:t>
            </w:r>
            <w:r w:rsidRPr="001A3FFD">
              <w:rPr>
                <w:rFonts w:ascii="Verdana" w:hAnsi="Verdana"/>
                <w:sz w:val="20"/>
                <w:szCs w:val="20"/>
                <w:lang w:eastAsia="es-CO"/>
              </w:rPr>
              <w:t> </w:t>
            </w:r>
          </w:p>
        </w:tc>
        <w:tc>
          <w:tcPr>
            <w:tcW w:w="2506" w:type="dxa"/>
            <w:tcBorders>
              <w:top w:val="single" w:sz="6" w:space="0" w:color="000000"/>
              <w:left w:val="single" w:sz="6" w:space="0" w:color="000000"/>
              <w:bottom w:val="single" w:sz="6" w:space="0" w:color="000000"/>
              <w:right w:val="single" w:sz="6" w:space="0" w:color="000000"/>
            </w:tcBorders>
            <w:vAlign w:val="center"/>
            <w:hideMark/>
          </w:tcPr>
          <w:p w14:paraId="41E6B530"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9.54 %</w:t>
            </w:r>
            <w:r w:rsidRPr="001A3FFD">
              <w:rPr>
                <w:rFonts w:ascii="Verdana" w:hAnsi="Verdana"/>
                <w:sz w:val="20"/>
                <w:szCs w:val="20"/>
                <w:lang w:eastAsia="es-CO"/>
              </w:rPr>
              <w:t> </w:t>
            </w:r>
          </w:p>
        </w:tc>
        <w:tc>
          <w:tcPr>
            <w:tcW w:w="4004" w:type="dxa"/>
            <w:tcBorders>
              <w:top w:val="single" w:sz="6" w:space="0" w:color="000000"/>
              <w:left w:val="single" w:sz="6" w:space="0" w:color="000000"/>
              <w:bottom w:val="single" w:sz="6" w:space="0" w:color="000000"/>
              <w:right w:val="single" w:sz="6" w:space="0" w:color="000000"/>
            </w:tcBorders>
            <w:vAlign w:val="center"/>
            <w:hideMark/>
          </w:tcPr>
          <w:p w14:paraId="4AC1CB61" w14:textId="77777777" w:rsidR="006A6A36" w:rsidRPr="001A3FFD" w:rsidRDefault="006A6A36" w:rsidP="00815EC0">
            <w:pPr>
              <w:jc w:val="center"/>
              <w:textAlignment w:val="baseline"/>
              <w:rPr>
                <w:rFonts w:ascii="Verdana" w:hAnsi="Verdana"/>
                <w:sz w:val="20"/>
                <w:szCs w:val="20"/>
                <w:lang w:eastAsia="es-CO"/>
              </w:rPr>
            </w:pPr>
            <w:r w:rsidRPr="001A3FFD">
              <w:rPr>
                <w:rFonts w:ascii="Verdana" w:hAnsi="Verdana"/>
                <w:sz w:val="20"/>
                <w:szCs w:val="20"/>
                <w:lang w:val="es-ES" w:eastAsia="es-CO"/>
              </w:rPr>
              <w:t>Decreto 1572 de 2024</w:t>
            </w:r>
            <w:r w:rsidRPr="001A3FFD">
              <w:rPr>
                <w:rFonts w:ascii="Verdana" w:hAnsi="Verdana"/>
                <w:sz w:val="20"/>
                <w:szCs w:val="20"/>
                <w:lang w:eastAsia="es-CO"/>
              </w:rPr>
              <w:t> </w:t>
            </w:r>
          </w:p>
        </w:tc>
      </w:tr>
      <w:tr w:rsidR="006A6A36" w:rsidRPr="001A3FFD" w14:paraId="5EA3A953" w14:textId="77777777" w:rsidTr="00815EC0">
        <w:trPr>
          <w:trHeight w:val="300"/>
        </w:trPr>
        <w:tc>
          <w:tcPr>
            <w:tcW w:w="1106" w:type="dxa"/>
            <w:tcBorders>
              <w:top w:val="single" w:sz="6" w:space="0" w:color="000000"/>
              <w:left w:val="single" w:sz="6" w:space="0" w:color="000000"/>
              <w:bottom w:val="single" w:sz="6" w:space="0" w:color="000000"/>
              <w:right w:val="single" w:sz="6" w:space="0" w:color="000000"/>
            </w:tcBorders>
            <w:vAlign w:val="center"/>
          </w:tcPr>
          <w:p w14:paraId="3C7A64EF" w14:textId="77777777" w:rsidR="006A6A36" w:rsidRPr="001A3FFD" w:rsidRDefault="006A6A36" w:rsidP="00815EC0">
            <w:pPr>
              <w:jc w:val="center"/>
              <w:textAlignment w:val="baseline"/>
              <w:rPr>
                <w:rFonts w:ascii="Verdana" w:hAnsi="Verdana"/>
                <w:sz w:val="20"/>
                <w:szCs w:val="20"/>
                <w:lang w:val="es-ES" w:eastAsia="es-CO"/>
              </w:rPr>
            </w:pPr>
            <w:r>
              <w:rPr>
                <w:rFonts w:ascii="Verdana" w:hAnsi="Verdana"/>
                <w:sz w:val="20"/>
                <w:szCs w:val="20"/>
                <w:lang w:val="es-ES" w:eastAsia="es-CO"/>
              </w:rPr>
              <w:t>2026</w:t>
            </w:r>
          </w:p>
        </w:tc>
        <w:tc>
          <w:tcPr>
            <w:tcW w:w="1448" w:type="dxa"/>
            <w:tcBorders>
              <w:top w:val="single" w:sz="6" w:space="0" w:color="000000"/>
              <w:left w:val="single" w:sz="6" w:space="0" w:color="000000"/>
              <w:bottom w:val="single" w:sz="6" w:space="0" w:color="000000"/>
              <w:right w:val="single" w:sz="6" w:space="0" w:color="000000"/>
            </w:tcBorders>
            <w:vAlign w:val="center"/>
          </w:tcPr>
          <w:p w14:paraId="3E7EEE8E" w14:textId="77777777" w:rsidR="006A6A36" w:rsidRPr="001A3FFD" w:rsidRDefault="006A6A36" w:rsidP="00815EC0">
            <w:pPr>
              <w:jc w:val="center"/>
              <w:textAlignment w:val="baseline"/>
              <w:rPr>
                <w:rFonts w:ascii="Verdana" w:hAnsi="Verdana"/>
                <w:sz w:val="20"/>
                <w:szCs w:val="20"/>
                <w:lang w:val="es-ES" w:eastAsia="es-CO"/>
              </w:rPr>
            </w:pPr>
            <w:r w:rsidRPr="003453B1">
              <w:rPr>
                <w:rFonts w:ascii="Verdana" w:hAnsi="Verdana"/>
                <w:sz w:val="20"/>
                <w:szCs w:val="20"/>
                <w:lang w:val="es-ES" w:eastAsia="es-CO"/>
              </w:rPr>
              <w:t>1.750.905</w:t>
            </w:r>
          </w:p>
        </w:tc>
        <w:tc>
          <w:tcPr>
            <w:tcW w:w="2506" w:type="dxa"/>
            <w:tcBorders>
              <w:top w:val="single" w:sz="6" w:space="0" w:color="000000"/>
              <w:left w:val="single" w:sz="6" w:space="0" w:color="000000"/>
              <w:bottom w:val="single" w:sz="6" w:space="0" w:color="000000"/>
              <w:right w:val="single" w:sz="6" w:space="0" w:color="000000"/>
            </w:tcBorders>
            <w:vAlign w:val="center"/>
          </w:tcPr>
          <w:p w14:paraId="26928D3D" w14:textId="77777777" w:rsidR="006A6A36" w:rsidRPr="001A3FFD" w:rsidRDefault="006A6A36" w:rsidP="00815EC0">
            <w:pPr>
              <w:jc w:val="center"/>
              <w:textAlignment w:val="baseline"/>
              <w:rPr>
                <w:rFonts w:ascii="Verdana" w:hAnsi="Verdana"/>
                <w:sz w:val="20"/>
                <w:szCs w:val="20"/>
                <w:lang w:val="es-ES" w:eastAsia="es-CO"/>
              </w:rPr>
            </w:pPr>
            <w:r>
              <w:rPr>
                <w:rFonts w:ascii="Verdana" w:hAnsi="Verdana"/>
                <w:sz w:val="20"/>
                <w:szCs w:val="20"/>
                <w:lang w:val="es-ES" w:eastAsia="es-CO"/>
              </w:rPr>
              <w:t>23%</w:t>
            </w:r>
          </w:p>
        </w:tc>
        <w:tc>
          <w:tcPr>
            <w:tcW w:w="4004" w:type="dxa"/>
            <w:tcBorders>
              <w:top w:val="single" w:sz="6" w:space="0" w:color="000000"/>
              <w:left w:val="single" w:sz="6" w:space="0" w:color="000000"/>
              <w:bottom w:val="single" w:sz="6" w:space="0" w:color="000000"/>
              <w:right w:val="single" w:sz="6" w:space="0" w:color="000000"/>
            </w:tcBorders>
            <w:vAlign w:val="center"/>
          </w:tcPr>
          <w:p w14:paraId="5F4113DB" w14:textId="77777777" w:rsidR="006A6A36" w:rsidRPr="001A3FFD" w:rsidRDefault="006A6A36" w:rsidP="00815EC0">
            <w:pPr>
              <w:jc w:val="center"/>
              <w:textAlignment w:val="baseline"/>
              <w:rPr>
                <w:rFonts w:ascii="Verdana" w:hAnsi="Verdana"/>
                <w:sz w:val="20"/>
                <w:szCs w:val="20"/>
                <w:lang w:val="es-ES" w:eastAsia="es-CO"/>
              </w:rPr>
            </w:pPr>
            <w:r w:rsidRPr="003453B1">
              <w:rPr>
                <w:rFonts w:ascii="Verdana" w:hAnsi="Verdana"/>
                <w:sz w:val="20"/>
                <w:szCs w:val="20"/>
                <w:lang w:val="es-ES" w:eastAsia="es-CO"/>
              </w:rPr>
              <w:t>Decretos 1469 y 1470 del 29 de diciembre de 2025</w:t>
            </w:r>
          </w:p>
        </w:tc>
      </w:tr>
    </w:tbl>
    <w:p w14:paraId="47A3BD27" w14:textId="77777777" w:rsidR="006A6A36" w:rsidRPr="00C93634" w:rsidRDefault="006A6A36" w:rsidP="006A6A36">
      <w:pPr>
        <w:ind w:left="-567" w:right="-801"/>
        <w:jc w:val="center"/>
        <w:textAlignment w:val="baseline"/>
        <w:rPr>
          <w:rFonts w:ascii="Verdana" w:hAnsi="Verdana" w:cs="Segoe UI"/>
          <w:i/>
          <w:iCs/>
          <w:sz w:val="20"/>
          <w:szCs w:val="20"/>
          <w:lang w:eastAsia="es-CO"/>
        </w:rPr>
      </w:pPr>
      <w:r w:rsidRPr="00C93634">
        <w:rPr>
          <w:rFonts w:ascii="Verdana" w:hAnsi="Verdana" w:cs="Segoe UI"/>
          <w:i/>
          <w:iCs/>
          <w:sz w:val="20"/>
          <w:szCs w:val="20"/>
          <w:lang w:val="es-ES" w:eastAsia="es-CO"/>
        </w:rPr>
        <w:t>Fuente: Ministerio del Trabajo</w:t>
      </w:r>
    </w:p>
    <w:p w14:paraId="6F9C5F80" w14:textId="77777777" w:rsidR="006A6A36" w:rsidRPr="00C93634" w:rsidRDefault="006A6A36" w:rsidP="006A6A36">
      <w:pPr>
        <w:ind w:left="-567" w:right="-801"/>
        <w:jc w:val="both"/>
        <w:textAlignment w:val="baseline"/>
        <w:rPr>
          <w:rFonts w:ascii="Verdana" w:hAnsi="Verdana" w:cs="Segoe UI"/>
          <w:sz w:val="20"/>
          <w:szCs w:val="20"/>
          <w:lang w:eastAsia="es-CO"/>
        </w:rPr>
      </w:pPr>
      <w:r w:rsidRPr="08BE3A98">
        <w:rPr>
          <w:rFonts w:ascii="Verdana" w:hAnsi="Verdana" w:cs="Segoe UI"/>
          <w:sz w:val="20"/>
          <w:szCs w:val="20"/>
          <w:lang w:val="es-ES" w:eastAsia="es-CO"/>
        </w:rPr>
        <w:t> </w:t>
      </w:r>
      <w:r w:rsidRPr="08BE3A98">
        <w:rPr>
          <w:rFonts w:ascii="Verdana" w:hAnsi="Verdana" w:cs="Segoe UI"/>
          <w:sz w:val="20"/>
          <w:szCs w:val="20"/>
          <w:lang w:eastAsia="es-CO"/>
        </w:rPr>
        <w:t> </w:t>
      </w:r>
    </w:p>
    <w:p w14:paraId="5D08A5A3" w14:textId="77777777" w:rsidR="006A6A36" w:rsidRDefault="006A6A36" w:rsidP="006A6A36">
      <w:pPr>
        <w:spacing w:before="100" w:after="100"/>
        <w:ind w:left="-567" w:right="-801"/>
        <w:jc w:val="both"/>
      </w:pPr>
      <w:r w:rsidRPr="08BE3A98">
        <w:rPr>
          <w:rFonts w:ascii="Verdana" w:eastAsia="Verdana" w:hAnsi="Verdana" w:cs="Verdana"/>
          <w:sz w:val="20"/>
          <w:szCs w:val="20"/>
        </w:rPr>
        <w:t>El Salario Mínimo Mensual Legal Vigente (SMMLV), definido anualmente mediante Decreto Nacional, constituye una variable determinante en la estructuración financiera de los contratos públicos, en particular en aquellos cuya ejecución demanda una alta intensidad de recurso humano, participación comunitaria y apoyo técnico, como es el caso del presente proceso de contratación.</w:t>
      </w:r>
    </w:p>
    <w:p w14:paraId="2FC74D09" w14:textId="77777777" w:rsidR="006A6A36" w:rsidRDefault="006A6A36" w:rsidP="006A6A36">
      <w:pPr>
        <w:spacing w:before="100" w:after="100"/>
        <w:ind w:left="-567" w:right="-801"/>
        <w:jc w:val="both"/>
      </w:pPr>
      <w:r w:rsidRPr="08BE3A98">
        <w:rPr>
          <w:rFonts w:ascii="Verdana" w:eastAsia="Verdana" w:hAnsi="Verdana" w:cs="Verdana"/>
          <w:sz w:val="20"/>
          <w:szCs w:val="20"/>
        </w:rPr>
        <w:t xml:space="preserve">El análisis histórico del SMMLV entre los años 2017 y 2026 evidencia una tendencia sostenida de crecimiento, con incrementos especialmente significativos a partir del año 2022. Para la vigencia </w:t>
      </w:r>
      <w:r w:rsidRPr="08BE3A98">
        <w:rPr>
          <w:rFonts w:ascii="Verdana" w:eastAsia="Verdana" w:hAnsi="Verdana" w:cs="Verdana"/>
          <w:b/>
          <w:bCs/>
          <w:sz w:val="20"/>
          <w:szCs w:val="20"/>
        </w:rPr>
        <w:t>2026</w:t>
      </w:r>
      <w:r w:rsidRPr="08BE3A98">
        <w:rPr>
          <w:rFonts w:ascii="Verdana" w:eastAsia="Verdana" w:hAnsi="Verdana" w:cs="Verdana"/>
          <w:sz w:val="20"/>
          <w:szCs w:val="20"/>
        </w:rPr>
        <w:t xml:space="preserve">, el salario mínimo fue fijado en </w:t>
      </w:r>
      <w:r w:rsidRPr="08BE3A98">
        <w:rPr>
          <w:rFonts w:ascii="Verdana" w:eastAsia="Verdana" w:hAnsi="Verdana" w:cs="Verdana"/>
          <w:b/>
          <w:bCs/>
          <w:sz w:val="20"/>
          <w:szCs w:val="20"/>
        </w:rPr>
        <w:t>$1.750.905</w:t>
      </w:r>
      <w:r w:rsidRPr="08BE3A98">
        <w:rPr>
          <w:rFonts w:ascii="Verdana" w:eastAsia="Verdana" w:hAnsi="Verdana" w:cs="Verdana"/>
          <w:sz w:val="20"/>
          <w:szCs w:val="20"/>
        </w:rPr>
        <w:t xml:space="preserve">, lo que representa un incremento del </w:t>
      </w:r>
      <w:r w:rsidRPr="08BE3A98">
        <w:rPr>
          <w:rFonts w:ascii="Verdana" w:eastAsia="Verdana" w:hAnsi="Verdana" w:cs="Verdana"/>
          <w:b/>
          <w:bCs/>
          <w:sz w:val="20"/>
          <w:szCs w:val="20"/>
        </w:rPr>
        <w:t>23%</w:t>
      </w:r>
      <w:r w:rsidRPr="08BE3A98">
        <w:rPr>
          <w:rFonts w:ascii="Verdana" w:eastAsia="Verdana" w:hAnsi="Verdana" w:cs="Verdana"/>
          <w:sz w:val="20"/>
          <w:szCs w:val="20"/>
        </w:rPr>
        <w:t xml:space="preserve"> frente al año 2025, constituyéndose en uno de los aumentos más altos del periodo analizado. Este comportamiento tiene un impacto directo y relevante sobre los costos laborales asociados a la ejecución del contrato.</w:t>
      </w:r>
    </w:p>
    <w:p w14:paraId="0BE31E8D" w14:textId="77777777" w:rsidR="006A6A36" w:rsidRDefault="006A6A36" w:rsidP="006A6A36">
      <w:pPr>
        <w:spacing w:before="100" w:after="100"/>
        <w:ind w:left="-567" w:right="-801"/>
        <w:jc w:val="both"/>
      </w:pPr>
      <w:r w:rsidRPr="08BE3A98">
        <w:rPr>
          <w:rFonts w:ascii="Verdana" w:eastAsia="Verdana" w:hAnsi="Verdana" w:cs="Verdana"/>
          <w:sz w:val="20"/>
          <w:szCs w:val="20"/>
        </w:rPr>
        <w:t xml:space="preserve">En el marco de la contratación a realizar, el aumento del SMMLV incide de manera directa en los rubros relacionados con </w:t>
      </w:r>
      <w:r w:rsidRPr="08BE3A98">
        <w:rPr>
          <w:rFonts w:ascii="Verdana" w:eastAsia="Verdana" w:hAnsi="Verdana" w:cs="Verdana"/>
          <w:b/>
          <w:bCs/>
          <w:sz w:val="20"/>
          <w:szCs w:val="20"/>
        </w:rPr>
        <w:t>honorarios, apoyos técnicos, personal logístico, auxiliares operativos, facilitadores comunitarios y demás servicios personales</w:t>
      </w:r>
      <w:r w:rsidRPr="08BE3A98">
        <w:rPr>
          <w:rFonts w:ascii="Verdana" w:eastAsia="Verdana" w:hAnsi="Verdana" w:cs="Verdana"/>
          <w:sz w:val="20"/>
          <w:szCs w:val="20"/>
        </w:rPr>
        <w:t xml:space="preserve"> necesarios para la implementación de las actividades previstas. Asimismo, el incremento del salario mínimo impacta indirectamente los costos de seguridad social, prestaciones sociales, aportes parafiscales y demás obligaciones laborales que deben ser asumidas por el contratista, lo cual eleva el costo total de operación del proyecto.</w:t>
      </w:r>
    </w:p>
    <w:p w14:paraId="2317B741" w14:textId="77777777" w:rsidR="006A6A36" w:rsidRDefault="006A6A36" w:rsidP="006A6A36">
      <w:pPr>
        <w:spacing w:before="100" w:after="100"/>
        <w:ind w:left="-567" w:right="-801"/>
        <w:jc w:val="both"/>
      </w:pPr>
      <w:r w:rsidRPr="08BE3A98">
        <w:rPr>
          <w:rFonts w:ascii="Verdana" w:eastAsia="Verdana" w:hAnsi="Verdana" w:cs="Verdana"/>
          <w:sz w:val="20"/>
          <w:szCs w:val="20"/>
        </w:rPr>
        <w:t xml:space="preserve">Adicionalmente, en contratos ejecutados en territorio y con enfoque comunitario, como el presente, el ajuste del SMMLV tiene efectos transversales sobre la estructura de costos del mercado, dado que </w:t>
      </w:r>
      <w:r w:rsidRPr="08BE3A98">
        <w:rPr>
          <w:rFonts w:ascii="Verdana" w:eastAsia="Verdana" w:hAnsi="Verdana" w:cs="Verdana"/>
          <w:sz w:val="20"/>
          <w:szCs w:val="20"/>
        </w:rPr>
        <w:lastRenderedPageBreak/>
        <w:t>proveedores de servicios complementarios (transporte, alimentación, alojamiento, logística y producción) incorporan estos incrementos salariales en sus tarifas. En consecuencia, el aumento del salario mínimo no solo afecta los costos directos de personal, sino que se traduce en presiones adicionales sobre los costos indirectos y administrativos del contrato.</w:t>
      </w:r>
    </w:p>
    <w:p w14:paraId="5FDDFCA6" w14:textId="77777777" w:rsidR="006A6A36" w:rsidRDefault="006A6A36" w:rsidP="006A6A36">
      <w:pPr>
        <w:spacing w:before="100" w:after="100"/>
        <w:ind w:left="-567" w:right="-801"/>
        <w:jc w:val="both"/>
      </w:pPr>
      <w:r w:rsidRPr="08BE3A98">
        <w:rPr>
          <w:rFonts w:ascii="Verdana" w:eastAsia="Verdana" w:hAnsi="Verdana" w:cs="Verdana"/>
          <w:sz w:val="20"/>
          <w:szCs w:val="20"/>
        </w:rPr>
        <w:t xml:space="preserve">En este contexto, la actualización del análisis del Salario Mínimo a la vigencia </w:t>
      </w:r>
      <w:r w:rsidRPr="08BE3A98">
        <w:rPr>
          <w:rFonts w:ascii="Verdana" w:eastAsia="Verdana" w:hAnsi="Verdana" w:cs="Verdana"/>
          <w:b/>
          <w:bCs/>
          <w:sz w:val="20"/>
          <w:szCs w:val="20"/>
        </w:rPr>
        <w:t>2026</w:t>
      </w:r>
      <w:r w:rsidRPr="08BE3A98">
        <w:rPr>
          <w:rFonts w:ascii="Verdana" w:eastAsia="Verdana" w:hAnsi="Verdana" w:cs="Verdana"/>
          <w:sz w:val="20"/>
          <w:szCs w:val="20"/>
        </w:rPr>
        <w:t xml:space="preserve"> permite justificar técnicamente la necesidad de definir un valor contractual acorde con las condiciones económicas vigentes, garantizando la suficiencia presupuestal para la ejecución integral del objeto contractual. De esta manera, la incorporación del SMMLV 2026 en el estudio de sector fortalece la planeación financiera del proceso, reduce riesgos de desfinanciación y asegura el cumplimiento de los principios de eficiencia, economía y responsabilidad fiscal que rigen la contratación estatal.</w:t>
      </w:r>
    </w:p>
    <w:p w14:paraId="62324372" w14:textId="77777777" w:rsidR="006A6A36" w:rsidRDefault="006A6A36" w:rsidP="006A6A36">
      <w:pPr>
        <w:ind w:left="-567" w:right="-801"/>
        <w:jc w:val="both"/>
        <w:rPr>
          <w:rFonts w:ascii="Verdana" w:hAnsi="Verdana" w:cs="Segoe UI"/>
          <w:sz w:val="20"/>
          <w:szCs w:val="20"/>
          <w:lang w:eastAsia="es-CO"/>
        </w:rPr>
      </w:pPr>
    </w:p>
    <w:p w14:paraId="3D524FC5" w14:textId="77777777" w:rsidR="006A6A36" w:rsidRPr="00C93634" w:rsidRDefault="006A6A36" w:rsidP="006A6A36">
      <w:pPr>
        <w:pStyle w:val="Prrafodelista"/>
        <w:numPr>
          <w:ilvl w:val="1"/>
          <w:numId w:val="4"/>
        </w:numPr>
        <w:spacing w:after="240"/>
        <w:ind w:left="-567" w:right="-801"/>
        <w:jc w:val="both"/>
        <w:rPr>
          <w:rFonts w:ascii="Verdana" w:eastAsia="Verdana" w:hAnsi="Verdana" w:cs="Verdana"/>
          <w:b/>
          <w:bCs/>
          <w:sz w:val="20"/>
          <w:szCs w:val="20"/>
        </w:rPr>
      </w:pPr>
      <w:r w:rsidRPr="08BE3A98">
        <w:rPr>
          <w:rFonts w:ascii="Verdana" w:eastAsia="Verdana" w:hAnsi="Verdana" w:cs="Verdana"/>
          <w:b/>
          <w:bCs/>
          <w:sz w:val="20"/>
          <w:szCs w:val="20"/>
        </w:rPr>
        <w:t>Tasa de Desempleo </w:t>
      </w:r>
    </w:p>
    <w:p w14:paraId="19CB0CDD" w14:textId="77777777" w:rsidR="006A6A36" w:rsidRDefault="006A6A36" w:rsidP="006A6A36">
      <w:pPr>
        <w:ind w:left="-567" w:right="-801"/>
        <w:jc w:val="both"/>
      </w:pPr>
      <w:r w:rsidRPr="08BE3A98">
        <w:rPr>
          <w:rFonts w:ascii="Verdana" w:eastAsia="Verdana" w:hAnsi="Verdana" w:cs="Verdana"/>
          <w:sz w:val="20"/>
          <w:szCs w:val="20"/>
          <w:lang w:val="es-ES"/>
        </w:rPr>
        <w:t>Para el mes de noviembre de 2025, la tasa de desocupación del total nacional fue 7,0%, lo que representó una disminución de 1,1 puntos porcentuales respecto al mismo mes de 2024 (8,2%). La tasa global de participación se ubicó en 64,7%, lo que significó un aumento de 1,0 puntos porcentuales frente a noviembre de 2024 (63,7%). Finalmente, la tasa de ocupación fue 60,2%, lo que representó un aumento de 1,6 puntos porcentuales respecto al mismo mes del año anterior (58,5%).</w:t>
      </w:r>
    </w:p>
    <w:p w14:paraId="1DB93B07" w14:textId="77777777" w:rsidR="006A6A36" w:rsidRPr="00C93634" w:rsidRDefault="006A6A36" w:rsidP="006A6A36">
      <w:pPr>
        <w:ind w:left="-567" w:right="-801"/>
        <w:jc w:val="both"/>
        <w:rPr>
          <w:rFonts w:ascii="Verdana" w:hAnsi="Verdana" w:cs="Segoe UI"/>
          <w:sz w:val="20"/>
          <w:szCs w:val="20"/>
          <w:lang w:val="es-ES" w:eastAsia="es-CO"/>
        </w:rPr>
      </w:pPr>
      <w:r w:rsidRPr="08BE3A98">
        <w:rPr>
          <w:rFonts w:ascii="Verdana" w:hAnsi="Verdana" w:cs="Segoe UI"/>
          <w:sz w:val="20"/>
          <w:szCs w:val="20"/>
          <w:lang w:eastAsia="es-CO"/>
        </w:rPr>
        <w:t> </w:t>
      </w:r>
    </w:p>
    <w:p w14:paraId="661A2C9E" w14:textId="77777777" w:rsidR="006A6A36" w:rsidRPr="00C93634" w:rsidRDefault="006A6A36" w:rsidP="006A6A36">
      <w:pPr>
        <w:ind w:left="-567" w:right="-801"/>
        <w:jc w:val="center"/>
        <w:textAlignment w:val="baseline"/>
      </w:pPr>
      <w:r>
        <w:rPr>
          <w:noProof/>
        </w:rPr>
        <w:drawing>
          <wp:inline distT="0" distB="0" distL="0" distR="0" wp14:anchorId="230F3AAB" wp14:editId="7F9071B7">
            <wp:extent cx="5614902" cy="2450804"/>
            <wp:effectExtent l="0" t="0" r="0" b="0"/>
            <wp:docPr id="1523257748" name="drawing" descr="Gráfico, Gráfico en cascad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257748" name="drawing" descr="Gráfico, Gráfico en cascada&#10;&#10;El contenido generado por IA puede ser incorrecto."/>
                    <pic:cNvPicPr/>
                  </pic:nvPicPr>
                  <pic:blipFill>
                    <a:blip r:embed="rId15">
                      <a:extLst>
                        <a:ext uri="{28A0092B-C50C-407E-A947-70E740481C1C}">
                          <a14:useLocalDpi xmlns:a14="http://schemas.microsoft.com/office/drawing/2010/main"/>
                        </a:ext>
                      </a:extLst>
                    </a:blip>
                    <a:stretch>
                      <a:fillRect/>
                    </a:stretch>
                  </pic:blipFill>
                  <pic:spPr>
                    <a:xfrm>
                      <a:off x="0" y="0"/>
                      <a:ext cx="5614902" cy="2450804"/>
                    </a:xfrm>
                    <a:prstGeom prst="rect">
                      <a:avLst/>
                    </a:prstGeom>
                  </pic:spPr>
                </pic:pic>
              </a:graphicData>
            </a:graphic>
          </wp:inline>
        </w:drawing>
      </w:r>
    </w:p>
    <w:p w14:paraId="152EA8A1" w14:textId="77777777" w:rsidR="006A6A36" w:rsidRPr="00C93634" w:rsidRDefault="006A6A36" w:rsidP="006A6A36">
      <w:pPr>
        <w:ind w:left="-567" w:right="-801"/>
        <w:jc w:val="both"/>
        <w:textAlignment w:val="baseline"/>
        <w:rPr>
          <w:rFonts w:ascii="Verdana" w:hAnsi="Verdana" w:cs="Segoe UI"/>
          <w:sz w:val="20"/>
          <w:szCs w:val="20"/>
          <w:lang w:eastAsia="es-CO"/>
        </w:rPr>
      </w:pPr>
      <w:r w:rsidRPr="08BE3A98">
        <w:rPr>
          <w:rFonts w:ascii="Verdana" w:hAnsi="Verdana" w:cs="Segoe UI"/>
          <w:sz w:val="20"/>
          <w:szCs w:val="20"/>
          <w:lang w:eastAsia="es-CO"/>
        </w:rPr>
        <w:t> </w:t>
      </w:r>
    </w:p>
    <w:p w14:paraId="3A07EC4D" w14:textId="77777777" w:rsidR="006A6A36" w:rsidRPr="00C93634" w:rsidRDefault="006A6A36" w:rsidP="006A6A36">
      <w:pPr>
        <w:ind w:left="-567" w:right="-801"/>
        <w:jc w:val="both"/>
      </w:pPr>
      <w:r w:rsidRPr="08BE3A98">
        <w:rPr>
          <w:rFonts w:ascii="Verdana" w:eastAsia="Verdana" w:hAnsi="Verdana" w:cs="Verdana"/>
          <w:sz w:val="20"/>
          <w:szCs w:val="20"/>
        </w:rPr>
        <w:t>En noviembre de 2025, la tasa de desocupación en el total de las 13 ciudades y áreas metropolitanas fue 7,3%, mientras que en noviembre de 2024 fue 8,0%. La tasa global de participación se ubicó en 67,4% y la tasa de ocupación en 62,5%, estas tasas en el mismo mes del año anterior fueron 66,7% y 61,4%, respectivamente.</w:t>
      </w:r>
    </w:p>
    <w:p w14:paraId="5D010835" w14:textId="77777777" w:rsidR="006A6A36" w:rsidRPr="00C93634" w:rsidRDefault="006A6A36" w:rsidP="006A6A36">
      <w:pPr>
        <w:ind w:right="-801"/>
        <w:jc w:val="both"/>
      </w:pPr>
      <w:r w:rsidRPr="08BE3A98">
        <w:rPr>
          <w:rFonts w:ascii="Verdana" w:eastAsia="Verdana" w:hAnsi="Verdana" w:cs="Verdana"/>
          <w:sz w:val="20"/>
          <w:szCs w:val="20"/>
        </w:rPr>
        <w:t xml:space="preserve"> </w:t>
      </w:r>
    </w:p>
    <w:p w14:paraId="0BA4C8FA" w14:textId="77777777" w:rsidR="006A6A36" w:rsidRPr="00C93634" w:rsidRDefault="006A6A36" w:rsidP="006A6A36">
      <w:pPr>
        <w:ind w:left="-567" w:right="-801"/>
        <w:jc w:val="both"/>
      </w:pPr>
      <w:r w:rsidRPr="08BE3A98">
        <w:rPr>
          <w:rFonts w:ascii="Verdana" w:eastAsia="Verdana" w:hAnsi="Verdana" w:cs="Verdana"/>
          <w:b/>
          <w:bCs/>
          <w:sz w:val="20"/>
          <w:szCs w:val="20"/>
        </w:rPr>
        <w:t>Población ocupada según rama de actividad, mes noviembre 2025</w:t>
      </w:r>
    </w:p>
    <w:p w14:paraId="4BBECBA1" w14:textId="77777777" w:rsidR="006A6A36" w:rsidRPr="00C93634" w:rsidRDefault="006A6A36" w:rsidP="006A6A36">
      <w:pPr>
        <w:ind w:left="-567" w:right="-801"/>
        <w:jc w:val="both"/>
      </w:pPr>
      <w:r w:rsidRPr="08BE3A98">
        <w:rPr>
          <w:rFonts w:ascii="Verdana" w:eastAsia="Verdana" w:hAnsi="Verdana" w:cs="Verdana"/>
          <w:b/>
          <w:bCs/>
          <w:sz w:val="20"/>
          <w:szCs w:val="20"/>
        </w:rPr>
        <w:t xml:space="preserve"> </w:t>
      </w:r>
    </w:p>
    <w:p w14:paraId="7196AACA" w14:textId="77777777" w:rsidR="006A6A36" w:rsidRPr="00C93634" w:rsidRDefault="006A6A36" w:rsidP="006A6A36">
      <w:pPr>
        <w:ind w:left="-567" w:right="-801"/>
        <w:jc w:val="both"/>
      </w:pPr>
      <w:r w:rsidRPr="08BE3A98">
        <w:rPr>
          <w:rFonts w:ascii="Verdana" w:eastAsia="Verdana" w:hAnsi="Verdana" w:cs="Verdana"/>
          <w:sz w:val="20"/>
          <w:szCs w:val="20"/>
        </w:rPr>
        <w:t>En el mes de noviembre de 2025, el número de personas ocupadas en el total nacional fue 24.599 miles de personas. Las ramas que más aportaron positivamente a la variación de la población ocupada fueron Agricultura, ganadería, caza, silvicultura y pesca (1,3 puntos porcentuales); Alojamiento y servicios de comida (1,0 puntos porcentuales) y Construcción (0,8 puntos</w:t>
      </w:r>
    </w:p>
    <w:p w14:paraId="3C22F647" w14:textId="77777777" w:rsidR="006A6A36" w:rsidRPr="00C93634" w:rsidRDefault="006A6A36" w:rsidP="006A6A36">
      <w:pPr>
        <w:ind w:left="-567" w:right="-801"/>
        <w:jc w:val="both"/>
        <w:rPr>
          <w:rFonts w:ascii="Verdana" w:eastAsia="Verdana" w:hAnsi="Verdana" w:cs="Verdana"/>
          <w:sz w:val="20"/>
          <w:szCs w:val="20"/>
        </w:rPr>
      </w:pPr>
    </w:p>
    <w:p w14:paraId="244ED50A" w14:textId="77777777" w:rsidR="006A6A36" w:rsidRPr="00C93634" w:rsidRDefault="006A6A36" w:rsidP="006A6A36">
      <w:pPr>
        <w:ind w:left="-567" w:right="-801"/>
        <w:jc w:val="center"/>
      </w:pPr>
      <w:r>
        <w:rPr>
          <w:noProof/>
        </w:rPr>
        <w:drawing>
          <wp:inline distT="0" distB="0" distL="0" distR="0" wp14:anchorId="33C3A945" wp14:editId="63677350">
            <wp:extent cx="5614902" cy="4944285"/>
            <wp:effectExtent l="0" t="0" r="0" b="0"/>
            <wp:docPr id="1567870554" name="drawing"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870554" name="drawing" descr="Tabla&#10;&#10;El contenido generado por IA puede ser incorrecto."/>
                    <pic:cNvPicPr/>
                  </pic:nvPicPr>
                  <pic:blipFill>
                    <a:blip r:embed="rId16">
                      <a:extLst>
                        <a:ext uri="{28A0092B-C50C-407E-A947-70E740481C1C}">
                          <a14:useLocalDpi xmlns:a14="http://schemas.microsoft.com/office/drawing/2010/main"/>
                        </a:ext>
                      </a:extLst>
                    </a:blip>
                    <a:stretch>
                      <a:fillRect/>
                    </a:stretch>
                  </pic:blipFill>
                  <pic:spPr>
                    <a:xfrm>
                      <a:off x="0" y="0"/>
                      <a:ext cx="5614902" cy="4944285"/>
                    </a:xfrm>
                    <a:prstGeom prst="rect">
                      <a:avLst/>
                    </a:prstGeom>
                  </pic:spPr>
                </pic:pic>
              </a:graphicData>
            </a:graphic>
          </wp:inline>
        </w:drawing>
      </w:r>
    </w:p>
    <w:p w14:paraId="7F4FB2E7" w14:textId="77777777" w:rsidR="006A6A36" w:rsidRPr="00C93634" w:rsidRDefault="006A6A36" w:rsidP="006A6A36">
      <w:pPr>
        <w:ind w:left="-567" w:right="-801"/>
        <w:jc w:val="both"/>
        <w:textAlignment w:val="baseline"/>
      </w:pPr>
      <w:r w:rsidRPr="08BE3A98">
        <w:rPr>
          <w:rFonts w:ascii="Verdana" w:eastAsia="Verdana" w:hAnsi="Verdana" w:cs="Verdana"/>
          <w:sz w:val="20"/>
          <w:szCs w:val="20"/>
        </w:rPr>
        <w:t>La inclusión del análisis de la tasa de desempleo en este estudio de mercado tiene como objetivo brindar un panorama socioeconómico del entorno en el cual se ejecutarán las actividades propias del contrato. Este indicador permite comprender las condiciones de acceso al trabajo y al ingreso de la población presentes en el desarrollo de esta manifestación.</w:t>
      </w:r>
    </w:p>
    <w:p w14:paraId="2F8F32B1" w14:textId="77777777" w:rsidR="006A6A36" w:rsidRPr="00C93634" w:rsidRDefault="006A6A36" w:rsidP="006A6A36">
      <w:pPr>
        <w:ind w:left="-567" w:right="-801"/>
        <w:jc w:val="both"/>
        <w:textAlignment w:val="baseline"/>
      </w:pPr>
      <w:r w:rsidRPr="08BE3A98">
        <w:rPr>
          <w:rFonts w:ascii="Verdana" w:eastAsia="Verdana" w:hAnsi="Verdana" w:cs="Verdana"/>
          <w:sz w:val="20"/>
          <w:szCs w:val="20"/>
        </w:rPr>
        <w:t xml:space="preserve"> </w:t>
      </w:r>
    </w:p>
    <w:p w14:paraId="239883FF" w14:textId="77777777" w:rsidR="006A6A36" w:rsidRPr="00C93634" w:rsidRDefault="006A6A36" w:rsidP="006A6A36">
      <w:pPr>
        <w:ind w:left="-567" w:right="-801"/>
        <w:jc w:val="both"/>
        <w:textAlignment w:val="baseline"/>
      </w:pPr>
      <w:r w:rsidRPr="08BE3A98">
        <w:rPr>
          <w:rFonts w:ascii="Verdana" w:eastAsia="Verdana" w:hAnsi="Verdana" w:cs="Verdana"/>
          <w:sz w:val="20"/>
          <w:szCs w:val="20"/>
        </w:rPr>
        <w:t xml:space="preserve">En contextos de desempleo persistente, los proyectos culturales orientados al fortalecimiento del patrimonio inmaterial cobran relevancia no solo por su valor simbólico, sino también por su capacidad de dinamizar la economía local mediante la contratación de servicios, la compra de insumos, el desarrollo de actividades comunitarias y la participación de actores locales. Así, estos procesos pueden generar efectos positivos en la empleabilidad indirecta, en la organización social y en la reactivación económica territorial. </w:t>
      </w:r>
    </w:p>
    <w:p w14:paraId="2D0CA35B" w14:textId="77777777" w:rsidR="006A6A36" w:rsidRPr="00C93634" w:rsidRDefault="006A6A36" w:rsidP="006A6A36">
      <w:pPr>
        <w:ind w:left="-567" w:right="-801"/>
        <w:jc w:val="both"/>
        <w:textAlignment w:val="baseline"/>
      </w:pPr>
      <w:r w:rsidRPr="08BE3A98">
        <w:rPr>
          <w:rFonts w:ascii="Verdana" w:eastAsia="Verdana" w:hAnsi="Verdana" w:cs="Verdana"/>
          <w:sz w:val="20"/>
          <w:szCs w:val="20"/>
        </w:rPr>
        <w:t xml:space="preserve"> </w:t>
      </w:r>
    </w:p>
    <w:p w14:paraId="58E3AC1B" w14:textId="77777777" w:rsidR="006A6A36" w:rsidRPr="00C93634" w:rsidRDefault="006A6A36" w:rsidP="006A6A36">
      <w:pPr>
        <w:ind w:left="-567" w:right="-801"/>
        <w:jc w:val="both"/>
        <w:textAlignment w:val="baseline"/>
      </w:pPr>
      <w:r w:rsidRPr="08BE3A98">
        <w:rPr>
          <w:rFonts w:ascii="Verdana" w:eastAsia="Verdana" w:hAnsi="Verdana" w:cs="Verdana"/>
          <w:sz w:val="20"/>
          <w:szCs w:val="20"/>
        </w:rPr>
        <w:t xml:space="preserve">Por ello, la tasa de desempleo, junto con el IPC y el salario mínimo, aporta insumos clave para la comprensión del contexto económico en el que se desarrolla este proyecto, sustentando la necesidad </w:t>
      </w:r>
      <w:r w:rsidRPr="08BE3A98">
        <w:rPr>
          <w:rFonts w:ascii="Verdana" w:eastAsia="Verdana" w:hAnsi="Verdana" w:cs="Verdana"/>
          <w:sz w:val="20"/>
          <w:szCs w:val="20"/>
        </w:rPr>
        <w:lastRenderedPageBreak/>
        <w:t>de inversión pública en iniciativas culturales con enfoque diferencial e impacto social en poblaciones históricamente excluidas.</w:t>
      </w:r>
      <w:r w:rsidRPr="08BE3A98">
        <w:t xml:space="preserve"> </w:t>
      </w:r>
    </w:p>
    <w:p w14:paraId="5A22F10E" w14:textId="77777777" w:rsidR="003453B1" w:rsidRPr="001A3FFD" w:rsidRDefault="003453B1" w:rsidP="00185113">
      <w:pPr>
        <w:ind w:left="-567" w:right="-801"/>
        <w:jc w:val="both"/>
        <w:textAlignment w:val="baseline"/>
        <w:rPr>
          <w:rFonts w:ascii="Verdana" w:hAnsi="Verdana" w:cs="Segoe UI"/>
          <w:sz w:val="20"/>
          <w:szCs w:val="20"/>
          <w:lang w:eastAsia="es-CO"/>
        </w:rPr>
      </w:pPr>
    </w:p>
    <w:p w14:paraId="577FFB56" w14:textId="6CF19B2B" w:rsidR="005A0A07" w:rsidRPr="001A3FFD" w:rsidRDefault="005A0A07" w:rsidP="00DD2282">
      <w:pPr>
        <w:pStyle w:val="Prrafodelista"/>
        <w:numPr>
          <w:ilvl w:val="0"/>
          <w:numId w:val="4"/>
        </w:numPr>
        <w:ind w:left="-567" w:right="-801" w:hanging="357"/>
        <w:jc w:val="both"/>
        <w:rPr>
          <w:rFonts w:ascii="Verdana" w:eastAsia="Verdana" w:hAnsi="Verdana" w:cs="Verdana"/>
          <w:b/>
          <w:bCs/>
          <w:sz w:val="20"/>
          <w:szCs w:val="20"/>
          <w:lang w:val="es-ES"/>
        </w:rPr>
      </w:pPr>
      <w:r w:rsidRPr="001A3FFD">
        <w:rPr>
          <w:rFonts w:ascii="Verdana" w:eastAsia="Verdana" w:hAnsi="Verdana" w:cs="Verdana"/>
          <w:b/>
          <w:bCs/>
          <w:sz w:val="20"/>
          <w:szCs w:val="20"/>
          <w:lang w:val="es-ES"/>
        </w:rPr>
        <w:t>Aspectos técnicos básicos y conceptuales</w:t>
      </w:r>
    </w:p>
    <w:p w14:paraId="15C4B8B4" w14:textId="77777777" w:rsidR="002F4C5A" w:rsidRPr="001A3FFD" w:rsidRDefault="002F4C5A" w:rsidP="6D518478">
      <w:pPr>
        <w:ind w:left="-567" w:right="-801"/>
        <w:rPr>
          <w:rFonts w:ascii="Verdana" w:eastAsia="Verdana" w:hAnsi="Verdana" w:cs="Verdana"/>
          <w:sz w:val="20"/>
          <w:szCs w:val="20"/>
        </w:rPr>
      </w:pPr>
      <w:r w:rsidRPr="001A3FFD">
        <w:rPr>
          <w:rFonts w:ascii="Verdana" w:eastAsia="Verdana" w:hAnsi="Verdana" w:cs="Verdana"/>
          <w:sz w:val="20"/>
          <w:szCs w:val="20"/>
        </w:rPr>
        <w:t> </w:t>
      </w:r>
    </w:p>
    <w:p w14:paraId="3727C93D" w14:textId="02632BA7" w:rsidR="002F4C5A" w:rsidRPr="001A3FFD" w:rsidRDefault="002F4C5A" w:rsidP="00DD2282">
      <w:pPr>
        <w:pStyle w:val="Prrafodelista"/>
        <w:numPr>
          <w:ilvl w:val="1"/>
          <w:numId w:val="4"/>
        </w:numPr>
        <w:spacing w:after="240"/>
        <w:ind w:left="-142" w:right="-801"/>
        <w:jc w:val="both"/>
        <w:rPr>
          <w:rFonts w:ascii="Verdana" w:eastAsia="Verdana" w:hAnsi="Verdana" w:cs="Verdana"/>
          <w:b/>
          <w:bCs/>
          <w:sz w:val="20"/>
          <w:szCs w:val="20"/>
        </w:rPr>
      </w:pPr>
      <w:r w:rsidRPr="001A3FFD">
        <w:rPr>
          <w:rFonts w:ascii="Verdana" w:eastAsia="Verdana" w:hAnsi="Verdana" w:cs="Verdana"/>
          <w:b/>
          <w:bCs/>
          <w:sz w:val="20"/>
          <w:szCs w:val="20"/>
        </w:rPr>
        <w:t>Aspectos técnicos básicos y conceptuales</w:t>
      </w:r>
      <w:r w:rsidRPr="001A3FFD">
        <w:rPr>
          <w:rFonts w:ascii="Verdana" w:eastAsia="Verdana" w:hAnsi="Verdana" w:cs="Verdana"/>
          <w:sz w:val="20"/>
          <w:szCs w:val="20"/>
        </w:rPr>
        <w:t>  </w:t>
      </w:r>
    </w:p>
    <w:p w14:paraId="58EF3F34" w14:textId="3CE14500" w:rsidR="35DD5011" w:rsidRPr="001A3FFD" w:rsidRDefault="35DD5011" w:rsidP="35DD5011">
      <w:pPr>
        <w:pStyle w:val="Prrafodelista"/>
        <w:spacing w:after="240"/>
        <w:ind w:left="-142" w:right="-801"/>
        <w:jc w:val="both"/>
        <w:rPr>
          <w:rFonts w:ascii="Verdana" w:eastAsia="Verdana" w:hAnsi="Verdana" w:cs="Verdana"/>
          <w:b/>
          <w:bCs/>
          <w:sz w:val="20"/>
          <w:szCs w:val="20"/>
        </w:rPr>
      </w:pPr>
    </w:p>
    <w:p w14:paraId="29FF191E" w14:textId="55C24B27" w:rsidR="29A513D9" w:rsidRPr="001A3FFD" w:rsidRDefault="29A513D9" w:rsidP="7BFF9BBA">
      <w:pPr>
        <w:pStyle w:val="Prrafodelista"/>
        <w:spacing w:after="240"/>
        <w:ind w:left="-142" w:right="-801"/>
        <w:jc w:val="both"/>
        <w:rPr>
          <w:rFonts w:ascii="Verdana" w:eastAsia="Verdana" w:hAnsi="Verdana" w:cs="Verdana"/>
          <w:sz w:val="20"/>
          <w:szCs w:val="20"/>
        </w:rPr>
      </w:pPr>
      <w:r w:rsidRPr="001A3FFD">
        <w:rPr>
          <w:rFonts w:ascii="Verdana" w:eastAsia="Verdana" w:hAnsi="Verdana" w:cs="Verdana"/>
          <w:sz w:val="20"/>
          <w:szCs w:val="20"/>
        </w:rPr>
        <w:t>Para el desarrollo de acciones de salvaguardia del Patrimonio Cultural Inmaterial es fundamental que se establezca una cooperación funcional y complementaria entre las comunidades, grupos y, si procede, individuos que crean, mantienen y transmiten el patrimonio cultural inmaterial, así como entre expertos, centros de competencias e institutos de investigación. </w:t>
      </w:r>
    </w:p>
    <w:p w14:paraId="0A98C9F5" w14:textId="27D8FBCC" w:rsidR="29A513D9" w:rsidRPr="001A3FFD" w:rsidRDefault="29A513D9" w:rsidP="7BFF9BBA">
      <w:pPr>
        <w:pStyle w:val="Prrafodelista"/>
        <w:spacing w:after="240"/>
        <w:ind w:left="-142" w:right="-801"/>
        <w:jc w:val="both"/>
        <w:rPr>
          <w:rFonts w:ascii="Verdana" w:eastAsia="Verdana" w:hAnsi="Verdana" w:cs="Verdana"/>
          <w:sz w:val="20"/>
          <w:szCs w:val="20"/>
        </w:rPr>
      </w:pPr>
    </w:p>
    <w:p w14:paraId="68E5087F" w14:textId="713F1523" w:rsidR="29A513D9" w:rsidRPr="001A3FFD" w:rsidRDefault="29A513D9" w:rsidP="7BFF9BBA">
      <w:pPr>
        <w:pStyle w:val="Prrafodelista"/>
        <w:spacing w:after="240"/>
        <w:ind w:left="-142" w:right="-801"/>
        <w:jc w:val="both"/>
        <w:rPr>
          <w:rFonts w:ascii="Verdana" w:eastAsia="Verdana" w:hAnsi="Verdana" w:cs="Verdana"/>
          <w:sz w:val="20"/>
          <w:szCs w:val="20"/>
        </w:rPr>
      </w:pPr>
      <w:r w:rsidRPr="001A3FFD">
        <w:rPr>
          <w:rFonts w:ascii="Verdana" w:eastAsia="Verdana" w:hAnsi="Verdana" w:cs="Verdana"/>
          <w:sz w:val="20"/>
          <w:szCs w:val="20"/>
        </w:rPr>
        <w:t>Asimismo, se requieren medidas necesarias para concientizar a las comunidades, grupos y, en su caso, individuos sobre la importancia y el valor de su patrimonio cultural inmaterial, para que los depositarios puedan beneficiarse de sus oportunidades y capacidades. En ese sentido, se debe propender por adoptar medidas apropiadas para fortalecer las capacidades de las comunidades, grupos y, si procede, individuos en la gestión social del Patrimonio Cultural Inmaterial.  </w:t>
      </w:r>
    </w:p>
    <w:p w14:paraId="237CD2CC" w14:textId="5D977EB0" w:rsidR="29A513D9" w:rsidRPr="001A3FFD" w:rsidRDefault="29A513D9" w:rsidP="7BFF9BBA">
      <w:pPr>
        <w:pStyle w:val="Prrafodelista"/>
        <w:spacing w:after="240"/>
        <w:ind w:left="-142" w:right="-801"/>
        <w:jc w:val="both"/>
        <w:rPr>
          <w:rFonts w:ascii="Verdana" w:eastAsia="Verdana" w:hAnsi="Verdana" w:cs="Verdana"/>
          <w:sz w:val="20"/>
          <w:szCs w:val="20"/>
        </w:rPr>
      </w:pPr>
    </w:p>
    <w:p w14:paraId="614B9F19" w14:textId="2914315B" w:rsidR="29A513D9" w:rsidRPr="001A3FFD" w:rsidRDefault="29A513D9" w:rsidP="7BFF9BBA">
      <w:pPr>
        <w:pStyle w:val="Prrafodelista"/>
        <w:spacing w:after="240"/>
        <w:ind w:left="-142" w:right="-801"/>
        <w:jc w:val="both"/>
        <w:rPr>
          <w:rFonts w:ascii="Verdana" w:eastAsia="Verdana" w:hAnsi="Verdana" w:cs="Verdana"/>
          <w:sz w:val="20"/>
          <w:szCs w:val="20"/>
        </w:rPr>
      </w:pPr>
      <w:r w:rsidRPr="001A3FFD">
        <w:rPr>
          <w:rFonts w:ascii="Verdana" w:eastAsia="Verdana" w:hAnsi="Verdana" w:cs="Verdana"/>
          <w:sz w:val="20"/>
          <w:szCs w:val="20"/>
        </w:rPr>
        <w:t xml:space="preserve">Para estos propósitos, los actores que participan en procesos de salvaguardia pueden hacer uso de las herramientas de fortalecimiento de capacidades de la Convención de 2003, facilitada por la Entidad de Patrimonio Vivo de la UNESCO. Estas pueden ser consultadas en el siguiente enlace: </w:t>
      </w:r>
      <w:hyperlink r:id="rId17">
        <w:r w:rsidRPr="001A3FFD">
          <w:rPr>
            <w:rStyle w:val="Hipervnculo"/>
            <w:rFonts w:ascii="Verdana" w:eastAsia="Verdana" w:hAnsi="Verdana" w:cs="Verdana"/>
            <w:color w:val="auto"/>
            <w:sz w:val="20"/>
            <w:szCs w:val="20"/>
          </w:rPr>
          <w:t>https://ich.unesco.org/es/material-fortalecimiento-capacidades.  </w:t>
        </w:r>
      </w:hyperlink>
    </w:p>
    <w:p w14:paraId="0211CF79" w14:textId="1AC2BA7A" w:rsidR="29A513D9" w:rsidRPr="001A3FFD" w:rsidRDefault="29A513D9" w:rsidP="7BFF9BBA">
      <w:pPr>
        <w:pStyle w:val="Prrafodelista"/>
        <w:spacing w:after="240"/>
        <w:ind w:left="-142" w:right="-801"/>
        <w:jc w:val="both"/>
        <w:rPr>
          <w:rFonts w:ascii="Verdana" w:eastAsia="Verdana" w:hAnsi="Verdana" w:cs="Verdana"/>
          <w:sz w:val="20"/>
          <w:szCs w:val="20"/>
        </w:rPr>
      </w:pPr>
    </w:p>
    <w:p w14:paraId="05713FF0" w14:textId="21B6B8B3" w:rsidR="29A513D9" w:rsidRPr="001A3FFD" w:rsidRDefault="29A513D9" w:rsidP="7BFF9BBA">
      <w:pPr>
        <w:pStyle w:val="Prrafodelista"/>
        <w:spacing w:after="240"/>
        <w:ind w:left="-142" w:right="-801"/>
        <w:jc w:val="both"/>
        <w:rPr>
          <w:rFonts w:ascii="Verdana" w:eastAsia="Verdana" w:hAnsi="Verdana" w:cs="Verdana"/>
          <w:sz w:val="20"/>
          <w:szCs w:val="20"/>
        </w:rPr>
      </w:pPr>
      <w:r w:rsidRPr="001A3FFD">
        <w:rPr>
          <w:rFonts w:ascii="Verdana" w:eastAsia="Verdana" w:hAnsi="Verdana" w:cs="Verdana"/>
          <w:sz w:val="20"/>
          <w:szCs w:val="20"/>
        </w:rPr>
        <w:t xml:space="preserve">Asimismo, el Grupo de Patrimonio Cultural Inmaterial de la Dirección de Patrimonio y Memoria del Ministerio de las Culturas, las Artes y los Saberes, cuenta con un repositorio de materiales de fortalecimiento de capacidades asociado a la Política de salvaguardia del Patrimonio Cultural Inmaterial en Colombia, el cual puede ser consultado en el siguiente enlace: </w:t>
      </w:r>
      <w:hyperlink r:id="rId18">
        <w:r w:rsidRPr="001A3FFD">
          <w:rPr>
            <w:rStyle w:val="Hipervnculo"/>
            <w:rFonts w:ascii="Verdana" w:eastAsia="Verdana" w:hAnsi="Verdana" w:cs="Verdana"/>
            <w:color w:val="auto"/>
            <w:sz w:val="20"/>
            <w:szCs w:val="20"/>
          </w:rPr>
          <w:t>https://patrimonio.mincultura.gov.co/fortalecimientodecapacidades/Paginas/default.aspx.  </w:t>
        </w:r>
      </w:hyperlink>
    </w:p>
    <w:p w14:paraId="4EE8202A" w14:textId="260FA1DB" w:rsidR="35DD5011" w:rsidRPr="001A3FFD" w:rsidRDefault="35DD5011" w:rsidP="35DD5011">
      <w:pPr>
        <w:pStyle w:val="Prrafodelista"/>
        <w:spacing w:after="240"/>
        <w:ind w:left="-142" w:right="-801"/>
        <w:jc w:val="both"/>
        <w:rPr>
          <w:rFonts w:ascii="Verdana" w:eastAsia="Verdana" w:hAnsi="Verdana" w:cs="Verdana"/>
          <w:b/>
          <w:bCs/>
          <w:sz w:val="20"/>
          <w:szCs w:val="20"/>
        </w:rPr>
      </w:pPr>
    </w:p>
    <w:p w14:paraId="37A46AA8" w14:textId="77777777" w:rsidR="00A23D2F" w:rsidRPr="001A3FFD" w:rsidRDefault="00A23D2F" w:rsidP="00A23D2F">
      <w:pPr>
        <w:pStyle w:val="Prrafodelista"/>
        <w:spacing w:after="240"/>
        <w:ind w:left="-142" w:right="-801"/>
        <w:jc w:val="both"/>
        <w:rPr>
          <w:rFonts w:ascii="Verdana" w:eastAsia="Verdana" w:hAnsi="Verdana" w:cs="Verdana"/>
          <w:b/>
          <w:bCs/>
          <w:sz w:val="20"/>
          <w:szCs w:val="20"/>
        </w:rPr>
      </w:pPr>
    </w:p>
    <w:p w14:paraId="464A9A5F" w14:textId="31918B94" w:rsidR="00DA2DDC" w:rsidRPr="001A3FFD" w:rsidRDefault="00F7644F" w:rsidP="00DD2282">
      <w:pPr>
        <w:pStyle w:val="Prrafodelista"/>
        <w:numPr>
          <w:ilvl w:val="1"/>
          <w:numId w:val="4"/>
        </w:numPr>
        <w:spacing w:after="240"/>
        <w:ind w:left="-142" w:right="-801"/>
        <w:jc w:val="both"/>
        <w:rPr>
          <w:rFonts w:ascii="Verdana" w:eastAsia="Verdana" w:hAnsi="Verdana" w:cs="Verdana"/>
          <w:b/>
          <w:bCs/>
          <w:sz w:val="20"/>
          <w:szCs w:val="20"/>
        </w:rPr>
      </w:pPr>
      <w:r w:rsidRPr="001A3FFD">
        <w:rPr>
          <w:rFonts w:ascii="Verdana" w:eastAsia="Verdana" w:hAnsi="Verdana" w:cs="Verdana"/>
          <w:b/>
          <w:bCs/>
          <w:sz w:val="20"/>
          <w:szCs w:val="20"/>
        </w:rPr>
        <w:t xml:space="preserve">Aspectos regulatorios </w:t>
      </w:r>
    </w:p>
    <w:p w14:paraId="2C661B01" w14:textId="4E05721F" w:rsidR="0055525C" w:rsidRPr="001A3FFD" w:rsidRDefault="0055525C" w:rsidP="0055525C">
      <w:pPr>
        <w:pStyle w:val="Prrafodelista"/>
        <w:spacing w:after="240"/>
        <w:ind w:left="-142" w:right="-801"/>
        <w:jc w:val="both"/>
        <w:rPr>
          <w:rFonts w:ascii="Verdana" w:eastAsia="Verdana" w:hAnsi="Verdana" w:cs="Verdana"/>
          <w:b/>
          <w:bCs/>
          <w:sz w:val="20"/>
          <w:szCs w:val="20"/>
        </w:rPr>
      </w:pPr>
    </w:p>
    <w:p w14:paraId="140A08D1" w14:textId="77777777" w:rsidR="00657C8A" w:rsidRPr="00657C8A" w:rsidRDefault="00657C8A" w:rsidP="00657C8A">
      <w:pPr>
        <w:pStyle w:val="Prrafodelista"/>
        <w:spacing w:after="240"/>
        <w:ind w:left="-567" w:right="-801"/>
        <w:jc w:val="both"/>
        <w:rPr>
          <w:rFonts w:ascii="Verdana" w:eastAsia="Verdana" w:hAnsi="Verdana" w:cs="Verdana"/>
          <w:sz w:val="20"/>
          <w:szCs w:val="20"/>
        </w:rPr>
      </w:pPr>
      <w:r w:rsidRPr="00657C8A">
        <w:rPr>
          <w:rFonts w:ascii="Verdana" w:eastAsia="Verdana" w:hAnsi="Verdana" w:cs="Verdana"/>
          <w:sz w:val="20"/>
          <w:szCs w:val="20"/>
        </w:rPr>
        <w:t xml:space="preserve">Acerca de la cultura de los grupos étnicos, los artículos 10, 7, 8,9, 11, 12,70, 171, 174,246,329 Y 330 de la Constitución de 1991, el Convenio 169 de la OIT y los artículos 11,12 y 13 de la Declaración de las Naciones Unidas sobre los derechos de los pueblos indígenas, contemplan el deber del Estado de proteger y respetar la diversidad étnica, así como defender la riqueza cultural de la Nación; todo ello en un contexto de igualdad y dignidad de la población, en el que se promueve y fomenta el acceso a la cultura y a la identidad indígena.  </w:t>
      </w:r>
    </w:p>
    <w:p w14:paraId="60010886" w14:textId="77777777" w:rsidR="00657C8A" w:rsidRPr="00657C8A" w:rsidRDefault="00657C8A" w:rsidP="00657C8A">
      <w:pPr>
        <w:pStyle w:val="Prrafodelista"/>
        <w:spacing w:after="240"/>
        <w:ind w:left="-567" w:right="-801"/>
        <w:jc w:val="both"/>
        <w:rPr>
          <w:rFonts w:ascii="Verdana" w:eastAsia="Verdana" w:hAnsi="Verdana" w:cs="Verdana"/>
          <w:sz w:val="20"/>
          <w:szCs w:val="20"/>
        </w:rPr>
      </w:pPr>
    </w:p>
    <w:p w14:paraId="22B0EB47" w14:textId="77777777" w:rsidR="00657C8A" w:rsidRPr="00657C8A" w:rsidRDefault="00657C8A" w:rsidP="00657C8A">
      <w:pPr>
        <w:pStyle w:val="Prrafodelista"/>
        <w:spacing w:after="240"/>
        <w:ind w:left="-567" w:right="-801"/>
        <w:jc w:val="both"/>
        <w:rPr>
          <w:rFonts w:ascii="Verdana" w:eastAsia="Verdana" w:hAnsi="Verdana" w:cs="Verdana"/>
          <w:sz w:val="20"/>
          <w:szCs w:val="20"/>
        </w:rPr>
      </w:pPr>
      <w:r w:rsidRPr="00657C8A">
        <w:rPr>
          <w:rFonts w:ascii="Verdana" w:eastAsia="Verdana" w:hAnsi="Verdana" w:cs="Verdana"/>
          <w:sz w:val="20"/>
          <w:szCs w:val="20"/>
        </w:rPr>
        <w:t xml:space="preserve">En este sentido, el Convenio 169 de la OIT (ratificado por Colombia mediante la Ley 21 de 1991), en lo referente a la integridad cultural de los pueblos indígenas, en su literal b del artículo 2°, adopta el deber de los Estados miembros de desarrollar, con la participación de los pueblos interesados, una acción coordinada y sistemática con miras a promover "la plena efectividad de los derechos sociales, económicos y culturales de esos pueblos, respetando su identidad social y cultural, sus costumbres y tradiciones, y sus instituciones"; y adiciona, en su literal a del artículo 5°, que: "deberán reconocerse y protegerse los valores y prácticas sociales, culturales, religiosos y espirituales propios de dichos pueblos y deberá tomarse debidamente en consideración la índole de los problemas que se les plantean tanto colectiva como individualmente".  </w:t>
      </w:r>
    </w:p>
    <w:p w14:paraId="783EBA29" w14:textId="77777777" w:rsidR="00657C8A" w:rsidRPr="00657C8A" w:rsidRDefault="00657C8A" w:rsidP="00657C8A">
      <w:pPr>
        <w:pStyle w:val="Prrafodelista"/>
        <w:spacing w:after="240"/>
        <w:ind w:left="-567" w:right="-801"/>
        <w:jc w:val="both"/>
        <w:rPr>
          <w:rFonts w:ascii="Verdana" w:eastAsia="Verdana" w:hAnsi="Verdana" w:cs="Verdana"/>
          <w:sz w:val="20"/>
          <w:szCs w:val="20"/>
        </w:rPr>
      </w:pPr>
    </w:p>
    <w:p w14:paraId="1978C004" w14:textId="77777777" w:rsidR="00657C8A" w:rsidRPr="00657C8A" w:rsidRDefault="00657C8A" w:rsidP="00657C8A">
      <w:pPr>
        <w:pStyle w:val="Prrafodelista"/>
        <w:spacing w:after="240"/>
        <w:ind w:left="-567" w:right="-801"/>
        <w:jc w:val="both"/>
        <w:rPr>
          <w:rFonts w:ascii="Verdana" w:eastAsia="Verdana" w:hAnsi="Verdana" w:cs="Verdana"/>
          <w:sz w:val="20"/>
          <w:szCs w:val="20"/>
        </w:rPr>
      </w:pPr>
      <w:r w:rsidRPr="00657C8A">
        <w:rPr>
          <w:rFonts w:ascii="Verdana" w:eastAsia="Verdana" w:hAnsi="Verdana" w:cs="Verdana"/>
          <w:sz w:val="20"/>
          <w:szCs w:val="20"/>
        </w:rPr>
        <w:t xml:space="preserve">Con referencia a las actividades tradicionales de los pueblos relacionadas con la economía de subsistencia, el convenio insta a los estados a reconocerlas como factores clave en el mantenimiento de su cultura y a “…facilitárseles, cuando sea posible, una asistencia técnica y financiera apropiada que tenga en cuenta las técnicas tradicionales y las características culturales de esos pueblos y la importancia de un desarrollo sostenido y equitativo” (art. 23).  </w:t>
      </w:r>
    </w:p>
    <w:p w14:paraId="486B1C84" w14:textId="77777777" w:rsidR="00657C8A" w:rsidRPr="00657C8A" w:rsidRDefault="00657C8A" w:rsidP="00657C8A">
      <w:pPr>
        <w:pStyle w:val="Prrafodelista"/>
        <w:spacing w:after="240"/>
        <w:ind w:left="-567" w:right="-801"/>
        <w:jc w:val="both"/>
        <w:rPr>
          <w:rFonts w:ascii="Verdana" w:eastAsia="Verdana" w:hAnsi="Verdana" w:cs="Verdana"/>
          <w:sz w:val="20"/>
          <w:szCs w:val="20"/>
        </w:rPr>
      </w:pPr>
    </w:p>
    <w:p w14:paraId="5031BD3B" w14:textId="77777777" w:rsidR="00657C8A" w:rsidRPr="00657C8A" w:rsidRDefault="00657C8A" w:rsidP="00657C8A">
      <w:pPr>
        <w:pStyle w:val="Prrafodelista"/>
        <w:spacing w:after="240"/>
        <w:ind w:left="-567" w:right="-801"/>
        <w:jc w:val="both"/>
        <w:rPr>
          <w:rFonts w:ascii="Verdana" w:eastAsia="Verdana" w:hAnsi="Verdana" w:cs="Verdana"/>
          <w:sz w:val="20"/>
          <w:szCs w:val="20"/>
        </w:rPr>
      </w:pPr>
      <w:r w:rsidRPr="00657C8A">
        <w:rPr>
          <w:rFonts w:ascii="Verdana" w:eastAsia="Verdana" w:hAnsi="Verdana" w:cs="Verdana"/>
          <w:sz w:val="20"/>
          <w:szCs w:val="20"/>
        </w:rPr>
        <w:t xml:space="preserve">En cuanto a la educación de los pueblos indígenas el convenio el su artículo 28 afirma que “…deberá enseñarse a los niños de los pueblos interesados a leer y a escribir en su propia lengua indígena o en la lengua que más comúnmente se hable en el grupo a que pertenezcan.” En el mismo artículo, insta a los estados a adoptar disposiciones “…para preservar las lenguas indígenas de los pueblos interesados y promover el desarrollo y la práctica de las mismas.” </w:t>
      </w:r>
    </w:p>
    <w:p w14:paraId="1F357300" w14:textId="77777777" w:rsidR="00657C8A" w:rsidRPr="00657C8A" w:rsidRDefault="00657C8A" w:rsidP="00657C8A">
      <w:pPr>
        <w:pStyle w:val="Prrafodelista"/>
        <w:spacing w:after="240"/>
        <w:ind w:left="-567" w:right="-801"/>
        <w:jc w:val="both"/>
        <w:rPr>
          <w:rFonts w:ascii="Verdana" w:eastAsia="Verdana" w:hAnsi="Verdana" w:cs="Verdana"/>
          <w:sz w:val="20"/>
          <w:szCs w:val="20"/>
        </w:rPr>
      </w:pPr>
    </w:p>
    <w:p w14:paraId="6089966C" w14:textId="77777777" w:rsidR="00657C8A" w:rsidRPr="00657C8A" w:rsidRDefault="00657C8A" w:rsidP="00657C8A">
      <w:pPr>
        <w:pStyle w:val="Prrafodelista"/>
        <w:spacing w:after="240"/>
        <w:ind w:left="-567" w:right="-801"/>
        <w:jc w:val="both"/>
        <w:rPr>
          <w:rFonts w:ascii="Verdana" w:eastAsia="Verdana" w:hAnsi="Verdana" w:cs="Verdana"/>
          <w:sz w:val="20"/>
          <w:szCs w:val="20"/>
        </w:rPr>
      </w:pPr>
      <w:r w:rsidRPr="00657C8A">
        <w:rPr>
          <w:rFonts w:ascii="Verdana" w:eastAsia="Verdana" w:hAnsi="Verdana" w:cs="Verdana"/>
          <w:sz w:val="20"/>
          <w:szCs w:val="20"/>
        </w:rPr>
        <w:t xml:space="preserve">El otro instrumento internacional clave (aunque no vinculante) en la defensa y garantía de los derechos de los pueblos indígenas es la Declaración de las Naciones Unidas sobre los derechos de los pueblos indígenas, aprobada por la Asamblea General de las Naciones Unidas en 2007. Dicho instrumento ofrece un marco de trabajo para los esfuerzos encaminados a fomentar los derechos de los pueblos indígenas. Los artículos 11, 12 y 13 ratifican, entre otros, el derecho de los pueblos indígenas a practicar, revitalizar y proteger sus tradiciones, costumbres, manifestaciones culturales, lenguas, religiones y espiritualidades, así como a transmitirlas a las generaciones venideras. Así mismo, la declaración insta a los estados a respetar y proteger dichas manifestaciones y a repararlas y restituirlas, cuando haya lugar; a adoptar medidas eficaces para asegurar la protección de los derechos de los pueblos y asegurarse de que puedan entender y hacerse entender “…en las actuaciones políticas, jurídicas y administrativas, proporcionando para ello, cuando sea necesario, servicios de interpretación u otros medios adecuados” (Art. 13). La declaración también insta a los estados a proporcionar acceso a la educación en su propia cultura e idioma. (art. 14) </w:t>
      </w:r>
    </w:p>
    <w:p w14:paraId="195C9BC2" w14:textId="77777777" w:rsidR="00657C8A" w:rsidRPr="00657C8A" w:rsidRDefault="00657C8A" w:rsidP="00657C8A">
      <w:pPr>
        <w:pStyle w:val="Prrafodelista"/>
        <w:spacing w:after="240"/>
        <w:ind w:left="-567" w:right="-801"/>
        <w:jc w:val="both"/>
        <w:rPr>
          <w:rFonts w:ascii="Verdana" w:eastAsia="Verdana" w:hAnsi="Verdana" w:cs="Verdana"/>
          <w:sz w:val="20"/>
          <w:szCs w:val="20"/>
        </w:rPr>
      </w:pPr>
    </w:p>
    <w:p w14:paraId="10D011E2" w14:textId="77777777" w:rsidR="00657C8A" w:rsidRPr="00657C8A" w:rsidRDefault="00657C8A" w:rsidP="00657C8A">
      <w:pPr>
        <w:pStyle w:val="Prrafodelista"/>
        <w:spacing w:after="240"/>
        <w:ind w:left="-567" w:right="-801"/>
        <w:jc w:val="both"/>
        <w:rPr>
          <w:rFonts w:ascii="Verdana" w:eastAsia="Verdana" w:hAnsi="Verdana" w:cs="Verdana"/>
          <w:sz w:val="20"/>
          <w:szCs w:val="20"/>
        </w:rPr>
      </w:pPr>
      <w:r w:rsidRPr="00657C8A">
        <w:rPr>
          <w:rFonts w:ascii="Verdana" w:eastAsia="Verdana" w:hAnsi="Verdana" w:cs="Verdana"/>
          <w:sz w:val="20"/>
          <w:szCs w:val="20"/>
        </w:rPr>
        <w:t xml:space="preserve">Varias sentencias de la Corte Constitucional se refieren también al reconocimiento y protección de la diversidad étnica y cultural, entre ellas están: T-342 de 1994, T-007 de 1995, SU-039 de 1997, SU-510 de 1998, T- 652 de 1998, y T-652 de 1998, T-025 de 2004 y los Autos referidos a los grupos étnicos, por ejemplo, Auto 004 de 2009 (Pueblos Indígenas). </w:t>
      </w:r>
    </w:p>
    <w:p w14:paraId="194ACB9E" w14:textId="77777777" w:rsidR="00657C8A" w:rsidRPr="00657C8A" w:rsidRDefault="00657C8A" w:rsidP="00657C8A">
      <w:pPr>
        <w:pStyle w:val="Prrafodelista"/>
        <w:spacing w:after="240"/>
        <w:ind w:left="-567" w:right="-801"/>
        <w:jc w:val="both"/>
        <w:rPr>
          <w:rFonts w:ascii="Verdana" w:eastAsia="Verdana" w:hAnsi="Verdana" w:cs="Verdana"/>
          <w:sz w:val="20"/>
          <w:szCs w:val="20"/>
        </w:rPr>
      </w:pPr>
    </w:p>
    <w:p w14:paraId="65722EEF" w14:textId="77777777" w:rsidR="00657C8A" w:rsidRPr="00657C8A" w:rsidRDefault="00657C8A" w:rsidP="00657C8A">
      <w:pPr>
        <w:pStyle w:val="Prrafodelista"/>
        <w:spacing w:after="240"/>
        <w:ind w:left="-567" w:right="-801"/>
        <w:jc w:val="both"/>
        <w:rPr>
          <w:rFonts w:ascii="Verdana" w:eastAsia="Verdana" w:hAnsi="Verdana" w:cs="Verdana"/>
          <w:sz w:val="20"/>
          <w:szCs w:val="20"/>
        </w:rPr>
      </w:pPr>
      <w:r w:rsidRPr="00657C8A">
        <w:rPr>
          <w:rFonts w:ascii="Verdana" w:eastAsia="Verdana" w:hAnsi="Verdana" w:cs="Verdana"/>
          <w:sz w:val="20"/>
          <w:szCs w:val="20"/>
        </w:rPr>
        <w:t xml:space="preserve">La Ley 397 de 1997 (“Ley General de Cultura”) dispone que el Estado estimulará “los procesos, proyectos y actividades culturales en un marco de reconocimiento y respeto por la diversidad y la variedad cultural de la Nación Colombiana” (Art. 3); y determina que la formulación de la política cultural tendrá en cuenta al creador, al gestor, como receptor de la cultura y garantizará el acceso de los colombianos a las manifestaciones, bienes y servicios culturales en igualdad de oportunidades, concediendo especial tratamiento a personas limitadas física, sensorial y psíquicamente, de la tercera edad, la infancia, y la juventud y los sectores sociales más necesitados (art. 13).  </w:t>
      </w:r>
    </w:p>
    <w:p w14:paraId="687F6C0D" w14:textId="77777777" w:rsidR="00657C8A" w:rsidRPr="00657C8A" w:rsidRDefault="00657C8A" w:rsidP="00657C8A">
      <w:pPr>
        <w:pStyle w:val="Prrafodelista"/>
        <w:spacing w:after="240"/>
        <w:ind w:left="-567" w:right="-801"/>
        <w:jc w:val="both"/>
        <w:rPr>
          <w:rFonts w:ascii="Verdana" w:eastAsia="Verdana" w:hAnsi="Verdana" w:cs="Verdana"/>
          <w:sz w:val="20"/>
          <w:szCs w:val="20"/>
        </w:rPr>
      </w:pPr>
    </w:p>
    <w:p w14:paraId="7B6117C5" w14:textId="77777777" w:rsidR="00657C8A" w:rsidRPr="00657C8A" w:rsidRDefault="00657C8A" w:rsidP="00657C8A">
      <w:pPr>
        <w:pStyle w:val="Prrafodelista"/>
        <w:spacing w:after="240"/>
        <w:ind w:left="-567" w:right="-801"/>
        <w:jc w:val="both"/>
        <w:rPr>
          <w:rFonts w:ascii="Verdana" w:eastAsia="Verdana" w:hAnsi="Verdana" w:cs="Verdana"/>
          <w:sz w:val="20"/>
          <w:szCs w:val="20"/>
        </w:rPr>
      </w:pPr>
      <w:r w:rsidRPr="00657C8A">
        <w:rPr>
          <w:rFonts w:ascii="Verdana" w:eastAsia="Verdana" w:hAnsi="Verdana" w:cs="Verdana"/>
          <w:sz w:val="20"/>
          <w:szCs w:val="20"/>
        </w:rPr>
        <w:t xml:space="preserve">En cuanto a los grupos étnicos, el inciso 6 del artículo 1 de la mencionada ley general establece que: “El Estado garantiza a los grupos étnicos y lingüísticos, a las comunidades negras y raizales y a los pueblos indígenas el derecho a conservar, enriquecer y difundir su identidad y patrimonio cultural, a generar el conocimiento de las mismas según sus propias tradiciones y a beneficiarse de una educación que asegure estos derechos”. </w:t>
      </w:r>
    </w:p>
    <w:p w14:paraId="56D9D3BB" w14:textId="77777777" w:rsidR="00657C8A" w:rsidRPr="00657C8A" w:rsidRDefault="00657C8A" w:rsidP="00657C8A">
      <w:pPr>
        <w:pStyle w:val="Prrafodelista"/>
        <w:spacing w:after="240"/>
        <w:ind w:left="-567" w:right="-801"/>
        <w:jc w:val="both"/>
        <w:rPr>
          <w:rFonts w:ascii="Verdana" w:eastAsia="Verdana" w:hAnsi="Verdana" w:cs="Verdana"/>
          <w:sz w:val="20"/>
          <w:szCs w:val="20"/>
        </w:rPr>
      </w:pPr>
    </w:p>
    <w:p w14:paraId="73A0D0D5" w14:textId="79F95F71" w:rsidR="0055525C" w:rsidRDefault="00657C8A" w:rsidP="00657C8A">
      <w:pPr>
        <w:pStyle w:val="Prrafodelista"/>
        <w:spacing w:after="240"/>
        <w:ind w:left="-567" w:right="-801"/>
        <w:jc w:val="both"/>
        <w:rPr>
          <w:rFonts w:ascii="Verdana" w:eastAsia="Verdana" w:hAnsi="Verdana" w:cs="Verdana"/>
          <w:sz w:val="20"/>
          <w:szCs w:val="20"/>
        </w:rPr>
      </w:pPr>
      <w:r w:rsidRPr="00657C8A">
        <w:rPr>
          <w:rFonts w:ascii="Verdana" w:eastAsia="Verdana" w:hAnsi="Verdana" w:cs="Verdana"/>
          <w:sz w:val="20"/>
          <w:szCs w:val="20"/>
        </w:rPr>
        <w:t xml:space="preserve">En conclusión, el Ministerio de las Culturas, las Artes y los Saberes, como entidad rectora del sector y de acuerdo al artículo 1.1.1.1 del decreto 1080 de 2015, tendrá como objetivos formular, coordinar, </w:t>
      </w:r>
      <w:r w:rsidRPr="00657C8A">
        <w:rPr>
          <w:rFonts w:ascii="Verdana" w:eastAsia="Verdana" w:hAnsi="Verdana" w:cs="Verdana"/>
          <w:sz w:val="20"/>
          <w:szCs w:val="20"/>
        </w:rPr>
        <w:lastRenderedPageBreak/>
        <w:t>ejecutar y vigilar la política del Estado en materia cultural de modo coherente con los planes de desarrollo, con los principios fundamentales y de participación contemplados en la Constitución Política, en la ley y le corresponde formular y adoptar políticas, planes generales, programas y proyectos del sector administrativo a su cargo.</w:t>
      </w:r>
    </w:p>
    <w:p w14:paraId="6ECF6E0E" w14:textId="77777777" w:rsidR="00657C8A" w:rsidRPr="00657C8A" w:rsidRDefault="00657C8A" w:rsidP="00657C8A">
      <w:pPr>
        <w:pStyle w:val="Prrafodelista"/>
        <w:spacing w:after="240"/>
        <w:ind w:left="-567" w:right="-801"/>
        <w:jc w:val="both"/>
        <w:rPr>
          <w:rFonts w:ascii="Verdana" w:eastAsia="Verdana" w:hAnsi="Verdana" w:cs="Verdana"/>
          <w:sz w:val="20"/>
          <w:szCs w:val="20"/>
        </w:rPr>
      </w:pPr>
    </w:p>
    <w:p w14:paraId="48D02FBE" w14:textId="0A1C1D68" w:rsidR="00DA2DDC" w:rsidRPr="001A3FFD" w:rsidRDefault="00DE1789" w:rsidP="0055525C">
      <w:pPr>
        <w:pStyle w:val="Prrafodelista"/>
        <w:spacing w:after="240"/>
        <w:ind w:left="-567" w:right="-801"/>
        <w:jc w:val="both"/>
        <w:rPr>
          <w:rFonts w:ascii="Verdana" w:eastAsia="Verdana" w:hAnsi="Verdana" w:cs="Verdana"/>
          <w:b/>
          <w:bCs/>
          <w:sz w:val="20"/>
          <w:szCs w:val="20"/>
        </w:rPr>
      </w:pPr>
      <w:r w:rsidRPr="001A3FFD">
        <w:rPr>
          <w:rFonts w:ascii="Verdana" w:eastAsia="Verdana" w:hAnsi="Verdana" w:cs="Verdana"/>
          <w:b/>
          <w:bCs/>
          <w:sz w:val="20"/>
          <w:szCs w:val="20"/>
        </w:rPr>
        <w:t>Normatividad</w:t>
      </w:r>
    </w:p>
    <w:tbl>
      <w:tblPr>
        <w:tblW w:w="0" w:type="auto"/>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977"/>
        <w:gridCol w:w="48"/>
        <w:gridCol w:w="6780"/>
        <w:gridCol w:w="15"/>
      </w:tblGrid>
      <w:tr w:rsidR="00A97E37" w:rsidRPr="001A3FFD" w14:paraId="3969E983" w14:textId="77777777" w:rsidTr="00477319">
        <w:trPr>
          <w:trHeight w:val="300"/>
        </w:trPr>
        <w:tc>
          <w:tcPr>
            <w:tcW w:w="1977"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548DD4" w:themeFill="text2" w:themeFillTint="99"/>
            <w:vAlign w:val="center"/>
          </w:tcPr>
          <w:p w14:paraId="0E88543A" w14:textId="3BF801D1" w:rsidR="35DD5011" w:rsidRPr="001A3FFD" w:rsidRDefault="35DD5011" w:rsidP="35DD5011">
            <w:pPr>
              <w:jc w:val="center"/>
              <w:rPr>
                <w:rFonts w:ascii="Verdana" w:eastAsia="Verdana" w:hAnsi="Verdana" w:cs="Verdana"/>
                <w:b/>
                <w:bCs/>
                <w:sz w:val="20"/>
                <w:szCs w:val="20"/>
              </w:rPr>
            </w:pPr>
            <w:r w:rsidRPr="001A3FFD">
              <w:rPr>
                <w:rFonts w:ascii="Verdana" w:eastAsiaTheme="minorEastAsia" w:hAnsi="Verdana" w:cstheme="minorBidi"/>
                <w:b/>
                <w:bCs/>
                <w:sz w:val="20"/>
                <w:szCs w:val="20"/>
              </w:rPr>
              <w:t>NORMA </w:t>
            </w:r>
          </w:p>
        </w:tc>
        <w:tc>
          <w:tcPr>
            <w:tcW w:w="6843" w:type="dxa"/>
            <w:gridSpan w:val="3"/>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548DD4" w:themeFill="text2" w:themeFillTint="99"/>
            <w:vAlign w:val="center"/>
          </w:tcPr>
          <w:p w14:paraId="45905284" w14:textId="151E784C" w:rsidR="35DD5011" w:rsidRPr="001A3FFD" w:rsidRDefault="35DD5011" w:rsidP="35DD5011">
            <w:pPr>
              <w:jc w:val="center"/>
              <w:rPr>
                <w:rFonts w:ascii="Verdana" w:eastAsia="Verdana" w:hAnsi="Verdana" w:cs="Verdana"/>
                <w:b/>
                <w:bCs/>
                <w:sz w:val="20"/>
                <w:szCs w:val="20"/>
              </w:rPr>
            </w:pPr>
            <w:r w:rsidRPr="001A3FFD">
              <w:rPr>
                <w:rFonts w:ascii="Verdana" w:eastAsiaTheme="minorEastAsia" w:hAnsi="Verdana" w:cstheme="minorBidi"/>
                <w:b/>
                <w:bCs/>
                <w:sz w:val="20"/>
                <w:szCs w:val="20"/>
              </w:rPr>
              <w:t>DESCRIPCIÓN </w:t>
            </w:r>
          </w:p>
        </w:tc>
      </w:tr>
      <w:tr w:rsidR="00A97E37" w:rsidRPr="001A3FFD" w14:paraId="59DD43BA" w14:textId="77777777" w:rsidTr="00477319">
        <w:trPr>
          <w:trHeight w:val="300"/>
        </w:trPr>
        <w:tc>
          <w:tcPr>
            <w:tcW w:w="1977"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3C177E76" w14:textId="498A2346" w:rsidR="35DD5011" w:rsidRPr="001A3FFD" w:rsidRDefault="35DD5011" w:rsidP="35DD5011">
            <w:pPr>
              <w:jc w:val="both"/>
              <w:rPr>
                <w:rFonts w:ascii="Verdana" w:eastAsia="Verdana" w:hAnsi="Verdana" w:cs="Verdana"/>
                <w:b/>
                <w:bCs/>
                <w:sz w:val="20"/>
                <w:szCs w:val="20"/>
              </w:rPr>
            </w:pPr>
            <w:r w:rsidRPr="001A3FFD">
              <w:rPr>
                <w:rFonts w:ascii="Verdana" w:eastAsiaTheme="minorEastAsia" w:hAnsi="Verdana" w:cstheme="minorBidi"/>
                <w:b/>
                <w:bCs/>
                <w:sz w:val="20"/>
                <w:szCs w:val="20"/>
              </w:rPr>
              <w:t>Ley 1037 de 2006 </w:t>
            </w:r>
          </w:p>
        </w:tc>
        <w:tc>
          <w:tcPr>
            <w:tcW w:w="6843" w:type="dxa"/>
            <w:gridSpan w:val="3"/>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6878EB6B" w14:textId="12511887" w:rsidR="35DD5011" w:rsidRPr="001A3FFD" w:rsidRDefault="35DD5011" w:rsidP="35DD5011">
            <w:pPr>
              <w:jc w:val="both"/>
              <w:rPr>
                <w:rFonts w:ascii="Verdana" w:eastAsia="Verdana" w:hAnsi="Verdana" w:cs="Verdana"/>
                <w:sz w:val="20"/>
                <w:szCs w:val="20"/>
              </w:rPr>
            </w:pPr>
            <w:r w:rsidRPr="001A3FFD">
              <w:rPr>
                <w:rFonts w:ascii="Verdana" w:eastAsiaTheme="minorEastAsia" w:hAnsi="Verdana" w:cstheme="minorBidi"/>
                <w:sz w:val="20"/>
                <w:szCs w:val="20"/>
              </w:rPr>
              <w:t>Por medio de la cual se aprueba la Convención para la Salvaguardia del Patrimonio Cultural Inmaterial, aprobada por la Conferencia General de la Unesco en su XXXII reunión, celebrada en París y clausurada el diecisiete (17) de octubre de dos mil tres (2003), y hecha y firmada en París el tres (3) de noviembre de dos mil tres (2003). </w:t>
            </w:r>
          </w:p>
        </w:tc>
      </w:tr>
      <w:tr w:rsidR="00A97E37" w:rsidRPr="001A3FFD" w14:paraId="3D9EDBBA" w14:textId="77777777" w:rsidTr="00477319">
        <w:trPr>
          <w:trHeight w:val="300"/>
        </w:trPr>
        <w:tc>
          <w:tcPr>
            <w:tcW w:w="1977"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5DCB303A" w14:textId="04F299FE" w:rsidR="35DD5011" w:rsidRPr="001A3FFD" w:rsidRDefault="35DD5011" w:rsidP="35DD5011">
            <w:pPr>
              <w:jc w:val="both"/>
              <w:rPr>
                <w:rFonts w:ascii="Verdana" w:eastAsia="Verdana" w:hAnsi="Verdana" w:cs="Verdana"/>
                <w:b/>
                <w:bCs/>
                <w:sz w:val="20"/>
                <w:szCs w:val="20"/>
              </w:rPr>
            </w:pPr>
            <w:r w:rsidRPr="001A3FFD">
              <w:rPr>
                <w:rFonts w:ascii="Verdana" w:eastAsiaTheme="minorEastAsia" w:hAnsi="Verdana" w:cstheme="minorBidi"/>
                <w:b/>
                <w:bCs/>
                <w:sz w:val="20"/>
                <w:szCs w:val="20"/>
              </w:rPr>
              <w:t>Ley 1185 de 2008 </w:t>
            </w:r>
          </w:p>
        </w:tc>
        <w:tc>
          <w:tcPr>
            <w:tcW w:w="6843" w:type="dxa"/>
            <w:gridSpan w:val="3"/>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617F322B" w14:textId="25D938F1" w:rsidR="35DD5011" w:rsidRPr="001A3FFD" w:rsidRDefault="35DD5011" w:rsidP="35DD5011">
            <w:pPr>
              <w:jc w:val="both"/>
              <w:rPr>
                <w:rFonts w:ascii="Verdana" w:eastAsia="Verdana" w:hAnsi="Verdana" w:cs="Verdana"/>
                <w:sz w:val="20"/>
                <w:szCs w:val="20"/>
              </w:rPr>
            </w:pPr>
            <w:r w:rsidRPr="001A3FFD">
              <w:rPr>
                <w:rFonts w:ascii="Verdana" w:eastAsiaTheme="minorEastAsia" w:hAnsi="Verdana" w:cstheme="minorBidi"/>
                <w:sz w:val="20"/>
                <w:szCs w:val="20"/>
              </w:rPr>
              <w:t>Por la cual se modifica y adiciona la Ley 397 de 1997 –Ley General de Cultura– y se dictan otras disposiciones. El artículo 8 de la Ley introduce la definición de Patrimonio Cultural Inmaterial de la Lista Representativa de Patrimonio Cultural Inmaterial y de los Planes Especiales de Salvaguardia.  </w:t>
            </w:r>
          </w:p>
        </w:tc>
      </w:tr>
      <w:tr w:rsidR="00A97E37" w:rsidRPr="001A3FFD" w14:paraId="3EAE65B6" w14:textId="77777777" w:rsidTr="00477319">
        <w:trPr>
          <w:trHeight w:val="300"/>
        </w:trPr>
        <w:tc>
          <w:tcPr>
            <w:tcW w:w="1977"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61A62AA1" w14:textId="0CE5CCF7" w:rsidR="35DD5011" w:rsidRPr="001A3FFD" w:rsidRDefault="35DD5011" w:rsidP="35DD5011">
            <w:pPr>
              <w:jc w:val="both"/>
              <w:rPr>
                <w:rFonts w:ascii="Verdana" w:eastAsia="Verdana" w:hAnsi="Verdana" w:cs="Verdana"/>
                <w:b/>
                <w:bCs/>
                <w:sz w:val="20"/>
                <w:szCs w:val="20"/>
              </w:rPr>
            </w:pPr>
            <w:r w:rsidRPr="001A3FFD">
              <w:rPr>
                <w:rFonts w:ascii="Verdana" w:eastAsiaTheme="minorEastAsia" w:hAnsi="Verdana" w:cstheme="minorBidi"/>
                <w:b/>
                <w:bCs/>
                <w:sz w:val="20"/>
                <w:szCs w:val="20"/>
              </w:rPr>
              <w:t>Decreto 1080 de 2015 </w:t>
            </w:r>
          </w:p>
        </w:tc>
        <w:tc>
          <w:tcPr>
            <w:tcW w:w="6843" w:type="dxa"/>
            <w:gridSpan w:val="3"/>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4BF3E6E0" w14:textId="50423A34" w:rsidR="35DD5011" w:rsidRPr="001A3FFD" w:rsidRDefault="35DD5011" w:rsidP="35DD5011">
            <w:pPr>
              <w:jc w:val="both"/>
              <w:rPr>
                <w:rFonts w:ascii="Verdana" w:eastAsia="Verdana" w:hAnsi="Verdana" w:cs="Verdana"/>
                <w:sz w:val="20"/>
                <w:szCs w:val="20"/>
              </w:rPr>
            </w:pPr>
            <w:r w:rsidRPr="001A3FFD">
              <w:rPr>
                <w:rFonts w:ascii="Verdana" w:eastAsiaTheme="minorEastAsia" w:hAnsi="Verdana" w:cstheme="minorBidi"/>
                <w:sz w:val="20"/>
                <w:szCs w:val="20"/>
              </w:rPr>
              <w:t>Decreto compilatorio de la normativa del sector cultura. Los Títulos 1 y 2 de la Parte 5 del Libro 2 del Decreto 1080 de 2015, Único Reglamentario del Sector Cultura, reglamentan los aspectos asociados a la definición del Patrimonio Cultural Inmaterial, el procedimiento de la Lista Representativa y la composición y mecanismos de actualización de los Planes Especiales de Salvaguardia.    </w:t>
            </w:r>
          </w:p>
        </w:tc>
      </w:tr>
      <w:tr w:rsidR="00A97E37" w:rsidRPr="001A3FFD" w14:paraId="799BAEEC" w14:textId="77777777" w:rsidTr="00477319">
        <w:trPr>
          <w:trHeight w:val="3945"/>
        </w:trPr>
        <w:tc>
          <w:tcPr>
            <w:tcW w:w="1977"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530BE6A2" w14:textId="50A8F589" w:rsidR="35DD5011" w:rsidRPr="001A3FFD" w:rsidRDefault="35DD5011" w:rsidP="35DD5011">
            <w:pPr>
              <w:jc w:val="both"/>
              <w:rPr>
                <w:rFonts w:ascii="Verdana" w:eastAsia="Verdana" w:hAnsi="Verdana" w:cs="Verdana"/>
                <w:b/>
                <w:bCs/>
                <w:sz w:val="20"/>
                <w:szCs w:val="20"/>
              </w:rPr>
            </w:pPr>
            <w:r w:rsidRPr="001A3FFD">
              <w:rPr>
                <w:rFonts w:ascii="Verdana" w:eastAsiaTheme="minorEastAsia" w:hAnsi="Verdana" w:cstheme="minorBidi"/>
                <w:b/>
                <w:bCs/>
                <w:sz w:val="20"/>
                <w:szCs w:val="20"/>
              </w:rPr>
              <w:t>Política de salvaguardia del patrimonio cultural inmaterial</w:t>
            </w:r>
          </w:p>
        </w:tc>
        <w:tc>
          <w:tcPr>
            <w:tcW w:w="6843" w:type="dxa"/>
            <w:gridSpan w:val="3"/>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2951E463" w14:textId="5B7C17AC" w:rsidR="35DD5011" w:rsidRPr="001A3FFD" w:rsidRDefault="35DD5011" w:rsidP="35DD5011">
            <w:pPr>
              <w:jc w:val="both"/>
              <w:rPr>
                <w:rFonts w:ascii="Verdana" w:eastAsia="Verdana" w:hAnsi="Verdana" w:cs="Verdana"/>
                <w:sz w:val="20"/>
                <w:szCs w:val="20"/>
              </w:rPr>
            </w:pPr>
            <w:r w:rsidRPr="001A3FFD">
              <w:rPr>
                <w:rFonts w:ascii="Verdana" w:eastAsiaTheme="minorEastAsia" w:hAnsi="Verdana" w:cstheme="minorBidi"/>
                <w:sz w:val="20"/>
                <w:szCs w:val="20"/>
              </w:rPr>
              <w:t>El objetivo de la Política es fortalecer la capacidad social de gestión que tienen los grupos humanos para salvaguardar y fomentar su PCI como una condición necesaria para su desarrollo y bienestar colectivos. Este objetivo no se entiende aislada: aunque las medidas de salvaguardia deben partir de iniciativas y formas de organización propias, generadas y aceptadas por las mismas comunidades, y según sus modos de vida, deben articularse con las competencias públicas, administrativas y de la ciudadanía, sin olvidar la responsabilidad social de diversos sectores sociales respecto al reconocimiento y la salvaguardia del PCI.</w:t>
            </w:r>
          </w:p>
        </w:tc>
      </w:tr>
      <w:tr w:rsidR="00657C8A" w:rsidRPr="00657C8A" w14:paraId="52BBF0EE"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32305BC8"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CP 1991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043DD25D"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Artículos 10, 7, 8,9, 11, 12,70, 171, 174,246,329 Y 330 </w:t>
            </w:r>
          </w:p>
        </w:tc>
      </w:tr>
      <w:tr w:rsidR="00657C8A" w:rsidRPr="00657C8A" w14:paraId="19098FD9"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0F16CEAE"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Convenio 169 de la OIT (1989)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7903921E"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En especial, los artículos 2, 5, 23 y 28 </w:t>
            </w:r>
          </w:p>
        </w:tc>
      </w:tr>
      <w:tr w:rsidR="00657C8A" w:rsidRPr="00657C8A" w14:paraId="1601D540"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1EE0308E"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Ley 21 de 1991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19B37E52"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Por la cual Colombia ratificó el Convenio 169 de la OIT (1989).  </w:t>
            </w:r>
          </w:p>
        </w:tc>
      </w:tr>
      <w:tr w:rsidR="00657C8A" w:rsidRPr="00657C8A" w14:paraId="5D5A5C97"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5F5EBA56"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lastRenderedPageBreak/>
              <w:t>Declaración de las Naciones Unidas sobre los DD de los PPII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501F5706"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Para el presente convenio, cobran especial relevancia los artículos 11, 12, 13 y 14.  </w:t>
            </w:r>
          </w:p>
        </w:tc>
      </w:tr>
      <w:tr w:rsidR="00657C8A" w:rsidRPr="006A6A36" w14:paraId="466E7F1B"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6E9EFDC5"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Jurisprudencia de la Corte Constitucional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647A6480" w14:textId="77777777" w:rsidR="00657C8A" w:rsidRPr="006A6A36" w:rsidRDefault="00657C8A" w:rsidP="00477319">
            <w:pPr>
              <w:jc w:val="both"/>
              <w:rPr>
                <w:rFonts w:ascii="Verdana" w:eastAsiaTheme="minorEastAsia" w:hAnsi="Verdana" w:cstheme="minorBidi"/>
                <w:sz w:val="20"/>
                <w:szCs w:val="20"/>
                <w:lang w:val="fr-FR"/>
              </w:rPr>
            </w:pPr>
            <w:r w:rsidRPr="006A6A36">
              <w:rPr>
                <w:rFonts w:ascii="Verdana" w:eastAsiaTheme="minorEastAsia" w:hAnsi="Verdana" w:cstheme="minorBidi"/>
                <w:sz w:val="20"/>
                <w:szCs w:val="20"/>
                <w:lang w:val="fr-FR"/>
              </w:rPr>
              <w:t>Sentencias T-342 de 1994, T-007 de 1995, SU-039 de 1997, SU-510 de 1998, T- 652 de 1998, y T-652 de 1998, T-025 de 2004 </w:t>
            </w:r>
          </w:p>
        </w:tc>
      </w:tr>
      <w:tr w:rsidR="00657C8A" w:rsidRPr="00657C8A" w14:paraId="697B0DF0"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180F0B46"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Autos de la Corte Constitucional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14303574"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Auto 004 de 2009. Emanado de la Sentencia T – 025 de 2004 en la cual la corte declara un “estado de cosas inconstitucional” con respecto a la situación de las personas desplazadas en el país. A partir de dicha sentencia, la corte proclama una serie de autos para poblaciones específicas en las cuales la vulneración de derechos se ve exacerbada con ocasión -en el caso del Auto 004- de la pertenencia étnica de las personas y comunidades indígenas.  </w:t>
            </w:r>
          </w:p>
          <w:p w14:paraId="187F5F63"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Entre otros, el Auto 004 ordena la formulación de planes de salvaguarda étnicos. </w:t>
            </w:r>
          </w:p>
        </w:tc>
      </w:tr>
      <w:tr w:rsidR="00657C8A" w:rsidRPr="00657C8A" w14:paraId="566605DD"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30D29A23"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Ley general de cultura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1A70046A"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Para el presente convenio, cobra especial importancia la primera parte de la ley general, los principios fundamentales y definiciones. </w:t>
            </w:r>
          </w:p>
        </w:tc>
      </w:tr>
      <w:tr w:rsidR="00657C8A" w:rsidRPr="00657C8A" w14:paraId="1347125F"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22FBC155"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Decreto 1080 de 2015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2F34AFC0"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Por medio del cual se expide el Decreto Único Reglamentario del Sector Cultura </w:t>
            </w:r>
          </w:p>
        </w:tc>
      </w:tr>
      <w:tr w:rsidR="00657C8A" w:rsidRPr="00657C8A" w14:paraId="125D795D"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28989424"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Decreto 2120 del 15 de noviembre de 2018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0077E374"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Establece las funciones de la Dirección de Patrimonio y Memoria del Ministerio de las Culturas, las Artes y los Saberes </w:t>
            </w:r>
          </w:p>
        </w:tc>
      </w:tr>
      <w:tr w:rsidR="00657C8A" w:rsidRPr="00657C8A" w14:paraId="483322B9"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27059C4F"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Ley 1037 de 2006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1D4A5888"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Ratificación de la Convención para la salvaguardia del patrimonio cultural inmaterial de 2003 de la UNESCO  </w:t>
            </w:r>
          </w:p>
        </w:tc>
      </w:tr>
      <w:tr w:rsidR="00657C8A" w:rsidRPr="00657C8A" w14:paraId="58E6EF2F"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6CC7F613"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Decreto 2120 del 2018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4E381769"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Por el cual se modifica la estructura del Ministerio de Cultura. Entre otros, describe las funciones de la Dirección de Poblaciones entre las que se encuentran las de la atención y acciones para la garantía de los derechos de los grupos étnicos </w:t>
            </w:r>
          </w:p>
        </w:tc>
      </w:tr>
      <w:tr w:rsidR="00657C8A" w:rsidRPr="00657C8A" w14:paraId="1F814BA8"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2E72C853"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Ley 1381 de 2010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047BE15C"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“Ley de lenguas” - Por la cual se desarrollan los artículos </w:t>
            </w:r>
            <w:hyperlink r:id="rId19" w:anchor="7" w:tgtFrame="_blank" w:history="1">
              <w:r w:rsidRPr="00477319">
                <w:rPr>
                  <w:rFonts w:ascii="Verdana" w:eastAsiaTheme="minorEastAsia" w:hAnsi="Verdana" w:cstheme="minorBidi"/>
                  <w:sz w:val="20"/>
                  <w:szCs w:val="20"/>
                </w:rPr>
                <w:t>7°</w:t>
              </w:r>
            </w:hyperlink>
            <w:r w:rsidRPr="00477319">
              <w:rPr>
                <w:rFonts w:ascii="Verdana" w:eastAsiaTheme="minorEastAsia" w:hAnsi="Verdana" w:cstheme="minorBidi"/>
                <w:sz w:val="20"/>
                <w:szCs w:val="20"/>
              </w:rPr>
              <w:t>, </w:t>
            </w:r>
            <w:hyperlink r:id="rId20" w:anchor="8" w:tgtFrame="_blank" w:history="1">
              <w:r w:rsidRPr="00477319">
                <w:rPr>
                  <w:rFonts w:ascii="Verdana" w:eastAsiaTheme="minorEastAsia" w:hAnsi="Verdana" w:cstheme="minorBidi"/>
                  <w:sz w:val="20"/>
                  <w:szCs w:val="20"/>
                </w:rPr>
                <w:t>8</w:t>
              </w:r>
            </w:hyperlink>
            <w:r w:rsidRPr="00477319">
              <w:rPr>
                <w:rFonts w:ascii="Verdana" w:eastAsiaTheme="minorEastAsia" w:hAnsi="Verdana" w:cstheme="minorBidi"/>
                <w:sz w:val="20"/>
                <w:szCs w:val="20"/>
              </w:rPr>
              <w:t>°, </w:t>
            </w:r>
            <w:hyperlink r:id="rId21" w:anchor="10" w:tgtFrame="_blank" w:history="1">
              <w:r w:rsidRPr="00477319">
                <w:rPr>
                  <w:rFonts w:ascii="Verdana" w:eastAsiaTheme="minorEastAsia" w:hAnsi="Verdana" w:cstheme="minorBidi"/>
                  <w:sz w:val="20"/>
                  <w:szCs w:val="20"/>
                </w:rPr>
                <w:t>10</w:t>
              </w:r>
            </w:hyperlink>
            <w:r w:rsidRPr="00477319">
              <w:rPr>
                <w:rFonts w:ascii="Verdana" w:eastAsiaTheme="minorEastAsia" w:hAnsi="Verdana" w:cstheme="minorBidi"/>
                <w:sz w:val="20"/>
                <w:szCs w:val="20"/>
              </w:rPr>
              <w:t> y </w:t>
            </w:r>
            <w:hyperlink r:id="rId22" w:anchor="70" w:tgtFrame="_blank" w:history="1">
              <w:r w:rsidRPr="00477319">
                <w:rPr>
                  <w:rFonts w:ascii="Verdana" w:eastAsiaTheme="minorEastAsia" w:hAnsi="Verdana" w:cstheme="minorBidi"/>
                  <w:sz w:val="20"/>
                  <w:szCs w:val="20"/>
                </w:rPr>
                <w:t>70</w:t>
              </w:r>
            </w:hyperlink>
            <w:r w:rsidRPr="00477319">
              <w:rPr>
                <w:rFonts w:ascii="Verdana" w:eastAsiaTheme="minorEastAsia" w:hAnsi="Verdana" w:cstheme="minorBidi"/>
                <w:sz w:val="20"/>
                <w:szCs w:val="20"/>
              </w:rPr>
              <w:t> de la Constitución Política, y los artículos </w:t>
            </w:r>
            <w:hyperlink r:id="rId23" w:anchor="4" w:tgtFrame="_blank" w:history="1">
              <w:r w:rsidRPr="00477319">
                <w:rPr>
                  <w:rFonts w:ascii="Verdana" w:eastAsiaTheme="minorEastAsia" w:hAnsi="Verdana" w:cstheme="minorBidi"/>
                  <w:sz w:val="20"/>
                  <w:szCs w:val="20"/>
                </w:rPr>
                <w:t>4</w:t>
              </w:r>
            </w:hyperlink>
            <w:r w:rsidRPr="00477319">
              <w:rPr>
                <w:rFonts w:ascii="Verdana" w:eastAsiaTheme="minorEastAsia" w:hAnsi="Verdana" w:cstheme="minorBidi"/>
                <w:sz w:val="20"/>
                <w:szCs w:val="20"/>
              </w:rPr>
              <w:t>°, </w:t>
            </w:r>
            <w:hyperlink r:id="rId24" w:anchor="5" w:tgtFrame="_blank" w:history="1">
              <w:r w:rsidRPr="00477319">
                <w:rPr>
                  <w:rFonts w:ascii="Verdana" w:eastAsiaTheme="minorEastAsia" w:hAnsi="Verdana" w:cstheme="minorBidi"/>
                  <w:sz w:val="20"/>
                  <w:szCs w:val="20"/>
                </w:rPr>
                <w:t>5</w:t>
              </w:r>
            </w:hyperlink>
            <w:r w:rsidRPr="00477319">
              <w:rPr>
                <w:rFonts w:ascii="Verdana" w:eastAsiaTheme="minorEastAsia" w:hAnsi="Verdana" w:cstheme="minorBidi"/>
                <w:sz w:val="20"/>
                <w:szCs w:val="20"/>
              </w:rPr>
              <w:t>° y </w:t>
            </w:r>
            <w:hyperlink r:id="rId25" w:anchor="28" w:tgtFrame="_blank" w:history="1">
              <w:r w:rsidRPr="00477319">
                <w:rPr>
                  <w:rFonts w:ascii="Verdana" w:eastAsiaTheme="minorEastAsia" w:hAnsi="Verdana" w:cstheme="minorBidi"/>
                  <w:sz w:val="20"/>
                  <w:szCs w:val="20"/>
                </w:rPr>
                <w:t>28</w:t>
              </w:r>
            </w:hyperlink>
            <w:r w:rsidRPr="00477319">
              <w:rPr>
                <w:rFonts w:ascii="Verdana" w:eastAsiaTheme="minorEastAsia" w:hAnsi="Verdana" w:cstheme="minorBidi"/>
                <w:sz w:val="20"/>
                <w:szCs w:val="20"/>
              </w:rPr>
              <w:t> de la Ley 21 de 1991 (que aprueba el Convenio 169 de la OIT sobre pueblos indígenas y tribales), y se dictan normas sobre reconocimiento, fomento, protección, uso, preservación y fortalecimiento de las lenguas de los grupos étnicos de Colombia y sobre sus derechos lingüísticos y los de sus hablantes. </w:t>
            </w:r>
          </w:p>
        </w:tc>
      </w:tr>
      <w:tr w:rsidR="00657C8A" w:rsidRPr="00657C8A" w14:paraId="77274D25"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3E403F94"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Resolución DM 063 de 2022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41D3D88C"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Por medio de la cual el Ministerio de Cultura adoptó el Plan Nacional Decenal de Lenguas Nativas de Colombia </w:t>
            </w:r>
          </w:p>
        </w:tc>
      </w:tr>
      <w:tr w:rsidR="00657C8A" w:rsidRPr="00657C8A" w14:paraId="0D307451"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39C77FED"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Decreto 692 de 2020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358367C3"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Por el cual se modifica la estructura del Ministerio de Cultura y se determinan las funciones de algunas de sus dependencias. Entre ellas, las de la DEDE que apuntan al desarrollo de estrategias que promuevan la cultura y la creatividad en los territorios. </w:t>
            </w:r>
          </w:p>
        </w:tc>
      </w:tr>
      <w:tr w:rsidR="00657C8A" w:rsidRPr="00657C8A" w14:paraId="1C7676A8"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16EAFE0D"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Ley 2294 de 2023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5020FC28"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Adopción del PND 2022 - 2026 </w:t>
            </w:r>
          </w:p>
        </w:tc>
      </w:tr>
      <w:tr w:rsidR="00657C8A" w:rsidRPr="00657C8A" w14:paraId="35F0DAEE"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07B2C2A2"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lastRenderedPageBreak/>
              <w:t>Ley 80 - 1993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6FE16BC8"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La presente ley tiene por objeto disponer las reglas y principios que rigen los contratos de las entidades estatales. </w:t>
            </w:r>
          </w:p>
        </w:tc>
      </w:tr>
      <w:tr w:rsidR="00657C8A" w:rsidRPr="00657C8A" w14:paraId="4E122B5C"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740BBF4A"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Ley 1150 - 2007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01B66A21"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Por medio de la cual se introducen medidas para la eficiencia y la transparencia en la Ley </w:t>
            </w:r>
            <w:hyperlink r:id="rId26" w:anchor="1" w:tgtFrame="_blank" w:history="1">
              <w:r w:rsidRPr="00477319">
                <w:rPr>
                  <w:rFonts w:ascii="Verdana" w:eastAsiaTheme="minorEastAsia" w:hAnsi="Verdana" w:cstheme="minorBidi"/>
                  <w:sz w:val="20"/>
                  <w:szCs w:val="20"/>
                </w:rPr>
                <w:t>80</w:t>
              </w:r>
            </w:hyperlink>
            <w:r w:rsidRPr="00477319">
              <w:rPr>
                <w:rFonts w:ascii="Verdana" w:eastAsiaTheme="minorEastAsia" w:hAnsi="Verdana" w:cstheme="minorBidi"/>
                <w:sz w:val="20"/>
                <w:szCs w:val="20"/>
              </w:rPr>
              <w:t> de 1993 y se dictan otras disposiciones generales sobre la contratación con recursos públicos </w:t>
            </w:r>
          </w:p>
        </w:tc>
      </w:tr>
      <w:tr w:rsidR="00657C8A" w:rsidRPr="00657C8A" w14:paraId="5564BBC4"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2A164B2E"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Decreto 1082 - 2015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344EFDA0"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Decreto único reglamentario del sector administrativo de </w:t>
            </w:r>
            <w:r w:rsidRPr="00477319">
              <w:rPr>
                <w:rFonts w:ascii="Arial" w:eastAsiaTheme="minorEastAsia" w:hAnsi="Arial" w:cs="Arial"/>
                <w:sz w:val="20"/>
                <w:szCs w:val="20"/>
              </w:rPr>
              <w:t>​​</w:t>
            </w:r>
            <w:r w:rsidRPr="00477319">
              <w:rPr>
                <w:rFonts w:ascii="Verdana" w:eastAsiaTheme="minorEastAsia" w:hAnsi="Verdana" w:cstheme="minorBidi"/>
                <w:sz w:val="20"/>
                <w:szCs w:val="20"/>
              </w:rPr>
              <w:t>Planeación Nacional </w:t>
            </w:r>
          </w:p>
        </w:tc>
      </w:tr>
      <w:tr w:rsidR="00657C8A" w:rsidRPr="00657C8A" w14:paraId="5395E12E"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14842379"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Decreto 252 – 2020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2C51A78F"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Por medio del cual adiciona acto que regula la creación de las asociaciones de Cabildos y/o Autoridades Tradicionales Indígenas, permitiéndoles contratar de manera directa con el Estado. </w:t>
            </w:r>
          </w:p>
        </w:tc>
      </w:tr>
      <w:tr w:rsidR="00657C8A" w:rsidRPr="00657C8A" w14:paraId="2B3929E6" w14:textId="77777777" w:rsidTr="00657C8A">
        <w:tblPrEx>
          <w:tblBorders>
            <w:top w:val="outset" w:sz="6" w:space="0" w:color="auto"/>
            <w:left w:val="outset" w:sz="6" w:space="0" w:color="auto"/>
            <w:bottom w:val="outset" w:sz="6" w:space="0" w:color="auto"/>
            <w:right w:val="outset" w:sz="6" w:space="0" w:color="auto"/>
          </w:tblBorders>
          <w:tblCellMar>
            <w:left w:w="0" w:type="dxa"/>
            <w:right w:w="0" w:type="dxa"/>
          </w:tblCellMar>
        </w:tblPrEx>
        <w:trPr>
          <w:gridAfter w:val="1"/>
          <w:wAfter w:w="15" w:type="dxa"/>
          <w:trHeight w:val="270"/>
        </w:trPr>
        <w:tc>
          <w:tcPr>
            <w:tcW w:w="2025" w:type="dxa"/>
            <w:gridSpan w:val="2"/>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37EC7F72" w14:textId="77777777" w:rsidR="00657C8A" w:rsidRPr="00477319" w:rsidRDefault="00657C8A" w:rsidP="00477319">
            <w:pPr>
              <w:jc w:val="both"/>
              <w:rPr>
                <w:rFonts w:ascii="Verdana" w:eastAsiaTheme="minorEastAsia" w:hAnsi="Verdana" w:cstheme="minorBidi"/>
                <w:b/>
                <w:bCs/>
                <w:sz w:val="20"/>
                <w:szCs w:val="20"/>
              </w:rPr>
            </w:pPr>
            <w:r w:rsidRPr="00477319">
              <w:rPr>
                <w:rFonts w:ascii="Verdana" w:eastAsiaTheme="minorEastAsia" w:hAnsi="Verdana" w:cstheme="minorBidi"/>
                <w:b/>
                <w:bCs/>
                <w:sz w:val="20"/>
                <w:szCs w:val="20"/>
              </w:rPr>
              <w:t>Ley 2160 - 2021 </w:t>
            </w:r>
          </w:p>
        </w:tc>
        <w:tc>
          <w:tcPr>
            <w:tcW w:w="6780" w:type="dxa"/>
            <w:tcBorders>
              <w:top w:val="single" w:sz="6" w:space="0" w:color="BFBFBF"/>
              <w:left w:val="single" w:sz="6" w:space="0" w:color="BFBFBF"/>
              <w:bottom w:val="single" w:sz="6" w:space="0" w:color="BFBFBF"/>
              <w:right w:val="single" w:sz="6" w:space="0" w:color="BFBFBF"/>
            </w:tcBorders>
            <w:shd w:val="clear" w:color="auto" w:fill="FFFFFF"/>
            <w:vAlign w:val="center"/>
            <w:hideMark/>
          </w:tcPr>
          <w:p w14:paraId="06E21B2C" w14:textId="77777777" w:rsidR="00657C8A" w:rsidRPr="00477319" w:rsidRDefault="00657C8A" w:rsidP="00477319">
            <w:pPr>
              <w:jc w:val="both"/>
              <w:rPr>
                <w:rFonts w:ascii="Verdana" w:eastAsiaTheme="minorEastAsia" w:hAnsi="Verdana" w:cstheme="minorBidi"/>
                <w:sz w:val="20"/>
                <w:szCs w:val="20"/>
              </w:rPr>
            </w:pPr>
            <w:r w:rsidRPr="00477319">
              <w:rPr>
                <w:rFonts w:ascii="Verdana" w:eastAsiaTheme="minorEastAsia" w:hAnsi="Verdana" w:cstheme="minorBidi"/>
                <w:sz w:val="20"/>
                <w:szCs w:val="20"/>
              </w:rPr>
              <w:t>Modifica la Ley 80 de 1993 y la ley 1150 de 2007 para establecer nuevas reglas de contratación directa con cabildos indígenas y asociaciones de autoridades tradicionales indígenas, entre otras formas organizativas.  </w:t>
            </w:r>
          </w:p>
        </w:tc>
      </w:tr>
    </w:tbl>
    <w:p w14:paraId="3F60B91B" w14:textId="77777777" w:rsidR="00657C8A" w:rsidRPr="001A3FFD" w:rsidRDefault="00657C8A" w:rsidP="35DD5011">
      <w:pPr>
        <w:rPr>
          <w:rFonts w:ascii="Verdana" w:hAnsi="Verdana"/>
          <w:sz w:val="20"/>
          <w:szCs w:val="20"/>
        </w:rPr>
      </w:pPr>
    </w:p>
    <w:p w14:paraId="58B97E61" w14:textId="490E1701" w:rsidR="00C36EE8" w:rsidRPr="001A3FFD" w:rsidRDefault="5EAA1743" w:rsidP="00477319">
      <w:pPr>
        <w:jc w:val="both"/>
        <w:rPr>
          <w:rFonts w:ascii="Verdana" w:eastAsia="Verdana" w:hAnsi="Verdana" w:cs="Verdana"/>
          <w:b/>
          <w:bCs/>
          <w:sz w:val="20"/>
          <w:szCs w:val="20"/>
        </w:rPr>
      </w:pPr>
      <w:r w:rsidRPr="001A3FFD">
        <w:rPr>
          <w:rStyle w:val="eop"/>
          <w:rFonts w:ascii="Verdana" w:eastAsia="Verdana" w:hAnsi="Verdana" w:cs="Verdana"/>
          <w:sz w:val="20"/>
          <w:szCs w:val="20"/>
        </w:rPr>
        <w:t> </w:t>
      </w:r>
      <w:bookmarkStart w:id="0" w:name="_Toc56091421"/>
      <w:r w:rsidR="00C36EE8" w:rsidRPr="001A3FFD">
        <w:rPr>
          <w:rFonts w:ascii="Verdana" w:eastAsia="Verdana" w:hAnsi="Verdana" w:cs="Verdana"/>
          <w:b/>
          <w:bCs/>
          <w:sz w:val="20"/>
          <w:szCs w:val="20"/>
        </w:rPr>
        <w:t>ANÁLISIS DE LA DEMANDA</w:t>
      </w:r>
      <w:bookmarkEnd w:id="0"/>
    </w:p>
    <w:p w14:paraId="41D0DFED" w14:textId="751E5F65" w:rsidR="0032243E" w:rsidRPr="001A3FFD" w:rsidRDefault="0032243E" w:rsidP="007B4DE2">
      <w:pPr>
        <w:spacing w:before="120" w:after="120"/>
        <w:ind w:left="-567" w:right="-801"/>
        <w:jc w:val="both"/>
        <w:rPr>
          <w:rFonts w:ascii="Verdana" w:eastAsia="Verdana" w:hAnsi="Verdana" w:cs="Verdana"/>
          <w:sz w:val="20"/>
          <w:szCs w:val="20"/>
        </w:rPr>
      </w:pPr>
      <w:bookmarkStart w:id="1" w:name="_Toc56091425"/>
      <w:r w:rsidRPr="001A3FFD">
        <w:rPr>
          <w:rFonts w:ascii="Verdana" w:eastAsia="Verdana" w:hAnsi="Verdana" w:cs="Verdana"/>
          <w:sz w:val="20"/>
          <w:szCs w:val="20"/>
        </w:rPr>
        <w:t>La información de la demanda permite al Grupo de Patrimonio Cultural Inmaterial recopilar información histórica sobre cómo se contrató mediante implementación de acciones de seguimiento y fortalecimiento, estrategias comunitarias de trasmisión de conocimiento, para el Ministerio, conocer las experiencias y recopilar información sobre las buenas prácticas que implementa y asistencia técnica para desarrollar</w:t>
      </w:r>
      <w:r w:rsidR="007B4DE2" w:rsidRPr="001A3FFD">
        <w:rPr>
          <w:rFonts w:ascii="Verdana" w:eastAsia="Verdana" w:hAnsi="Verdana" w:cs="Verdana"/>
          <w:sz w:val="20"/>
          <w:szCs w:val="20"/>
        </w:rPr>
        <w:t xml:space="preserve"> acciones de s</w:t>
      </w:r>
      <w:r w:rsidRPr="001A3FFD">
        <w:rPr>
          <w:rFonts w:ascii="Verdana" w:eastAsia="Verdana" w:hAnsi="Verdana" w:cs="Verdana"/>
          <w:sz w:val="20"/>
          <w:szCs w:val="20"/>
        </w:rPr>
        <w:t>alvaguardia</w:t>
      </w:r>
      <w:r w:rsidR="007B4DE2" w:rsidRPr="001A3FFD">
        <w:rPr>
          <w:rFonts w:ascii="Verdana" w:eastAsia="Verdana" w:hAnsi="Verdana" w:cs="Verdana"/>
          <w:sz w:val="20"/>
          <w:szCs w:val="20"/>
        </w:rPr>
        <w:t>.</w:t>
      </w:r>
    </w:p>
    <w:p w14:paraId="7252FEC9" w14:textId="3C956565" w:rsidR="00393F54" w:rsidRPr="001A3FFD" w:rsidRDefault="0032243E" w:rsidP="007B4DE2">
      <w:pPr>
        <w:spacing w:before="120" w:after="120"/>
        <w:ind w:left="-567" w:right="-801"/>
        <w:jc w:val="both"/>
        <w:rPr>
          <w:rFonts w:ascii="Verdana" w:eastAsia="Verdana" w:hAnsi="Verdana" w:cs="Verdana"/>
          <w:sz w:val="20"/>
          <w:szCs w:val="20"/>
        </w:rPr>
      </w:pPr>
      <w:r w:rsidRPr="001A3FFD">
        <w:rPr>
          <w:rFonts w:ascii="Verdana" w:eastAsia="Verdana" w:hAnsi="Verdana" w:cs="Verdana"/>
          <w:sz w:val="20"/>
          <w:szCs w:val="20"/>
        </w:rPr>
        <w:t xml:space="preserve">Teniendo en cuenta la naturaleza del </w:t>
      </w:r>
      <w:r w:rsidR="48BC85C7" w:rsidRPr="001A3FFD">
        <w:rPr>
          <w:rFonts w:ascii="Verdana" w:eastAsia="Verdana" w:hAnsi="Verdana" w:cs="Verdana"/>
          <w:sz w:val="20"/>
          <w:szCs w:val="20"/>
        </w:rPr>
        <w:t>con</w:t>
      </w:r>
      <w:r w:rsidR="1BD3C55A" w:rsidRPr="001A3FFD">
        <w:rPr>
          <w:rFonts w:ascii="Verdana" w:eastAsia="Verdana" w:hAnsi="Verdana" w:cs="Verdana"/>
          <w:sz w:val="20"/>
          <w:szCs w:val="20"/>
        </w:rPr>
        <w:t>trato</w:t>
      </w:r>
      <w:r w:rsidRPr="001A3FFD">
        <w:rPr>
          <w:rFonts w:ascii="Verdana" w:eastAsia="Verdana" w:hAnsi="Verdana" w:cs="Verdana"/>
          <w:sz w:val="20"/>
          <w:szCs w:val="20"/>
        </w:rPr>
        <w:t xml:space="preserve"> y las condiciones de la ejecución de este, se consultó en el portal de datos abiertos el histórico de contratación por parte de la Entidad </w:t>
      </w:r>
      <w:r w:rsidR="00682732" w:rsidRPr="001A3FFD">
        <w:rPr>
          <w:rFonts w:ascii="Verdana" w:eastAsia="Verdana" w:hAnsi="Verdana" w:cs="Verdana"/>
          <w:sz w:val="20"/>
          <w:szCs w:val="20"/>
        </w:rPr>
        <w:t xml:space="preserve">para la contrataciones de actividades similares </w:t>
      </w:r>
      <w:r w:rsidRPr="001A3FFD">
        <w:rPr>
          <w:rFonts w:ascii="Verdana" w:eastAsia="Verdana" w:hAnsi="Verdana" w:cs="Verdana"/>
          <w:sz w:val="20"/>
          <w:szCs w:val="20"/>
        </w:rPr>
        <w:t>al objeto del presente proceso de contratación</w:t>
      </w:r>
      <w:r w:rsidR="007B4DE2" w:rsidRPr="001A3FFD">
        <w:rPr>
          <w:rFonts w:ascii="Verdana" w:eastAsia="Verdana" w:hAnsi="Verdana" w:cs="Verdana"/>
          <w:sz w:val="20"/>
          <w:szCs w:val="20"/>
        </w:rPr>
        <w:t>.</w:t>
      </w:r>
    </w:p>
    <w:tbl>
      <w:tblPr>
        <w:tblW w:w="9498" w:type="dxa"/>
        <w:tblInd w:w="-292"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277"/>
        <w:gridCol w:w="2693"/>
        <w:gridCol w:w="1701"/>
        <w:gridCol w:w="1134"/>
        <w:gridCol w:w="1701"/>
        <w:gridCol w:w="992"/>
      </w:tblGrid>
      <w:tr w:rsidR="00A97E37" w:rsidRPr="001A3FFD" w14:paraId="12EAC984" w14:textId="77777777" w:rsidTr="00B71178">
        <w:trPr>
          <w:trHeight w:val="300"/>
        </w:trPr>
        <w:tc>
          <w:tcPr>
            <w:tcW w:w="1277"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548DD4" w:themeFill="text2" w:themeFillTint="99"/>
            <w:vAlign w:val="center"/>
            <w:hideMark/>
          </w:tcPr>
          <w:p w14:paraId="00DFE61F" w14:textId="77777777" w:rsidR="008E2883" w:rsidRPr="001A3FFD" w:rsidRDefault="008E2883" w:rsidP="00F66AC5">
            <w:pPr>
              <w:ind w:left="127" w:right="141"/>
              <w:jc w:val="center"/>
              <w:rPr>
                <w:rFonts w:ascii="Verdana" w:eastAsia="Verdana" w:hAnsi="Verdana" w:cs="Verdana"/>
                <w:sz w:val="16"/>
                <w:szCs w:val="16"/>
              </w:rPr>
            </w:pPr>
            <w:r w:rsidRPr="001A3FFD">
              <w:rPr>
                <w:rFonts w:ascii="Verdana" w:eastAsia="Verdana" w:hAnsi="Verdana" w:cs="Verdana"/>
                <w:b/>
                <w:bCs/>
                <w:sz w:val="16"/>
                <w:szCs w:val="16"/>
              </w:rPr>
              <w:t>Número de proceso </w:t>
            </w:r>
            <w:r w:rsidRPr="001A3FFD">
              <w:rPr>
                <w:rFonts w:ascii="Verdana" w:eastAsia="Verdana" w:hAnsi="Verdana" w:cs="Verdana"/>
                <w:sz w:val="16"/>
                <w:szCs w:val="16"/>
              </w:rPr>
              <w:t> </w:t>
            </w:r>
          </w:p>
        </w:tc>
        <w:tc>
          <w:tcPr>
            <w:tcW w:w="2693"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548DD4" w:themeFill="text2" w:themeFillTint="99"/>
            <w:vAlign w:val="center"/>
            <w:hideMark/>
          </w:tcPr>
          <w:p w14:paraId="288BDCC6" w14:textId="46F92639" w:rsidR="008E2883" w:rsidRPr="001A3FFD" w:rsidRDefault="008E2883" w:rsidP="00F66AC5">
            <w:pPr>
              <w:ind w:left="127" w:right="141"/>
              <w:jc w:val="center"/>
              <w:rPr>
                <w:rFonts w:ascii="Verdana" w:eastAsia="Verdana" w:hAnsi="Verdana" w:cs="Verdana"/>
                <w:sz w:val="16"/>
                <w:szCs w:val="16"/>
              </w:rPr>
            </w:pPr>
            <w:r w:rsidRPr="001A3FFD">
              <w:rPr>
                <w:rFonts w:ascii="Verdana" w:eastAsia="Verdana" w:hAnsi="Verdana" w:cs="Verdana"/>
                <w:b/>
                <w:bCs/>
                <w:sz w:val="16"/>
                <w:szCs w:val="16"/>
              </w:rPr>
              <w:t>Objeto</w:t>
            </w:r>
          </w:p>
        </w:tc>
        <w:tc>
          <w:tcPr>
            <w:tcW w:w="1701"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548DD4" w:themeFill="text2" w:themeFillTint="99"/>
            <w:vAlign w:val="center"/>
            <w:hideMark/>
          </w:tcPr>
          <w:p w14:paraId="18A16389" w14:textId="77777777" w:rsidR="008E2883" w:rsidRPr="001A3FFD" w:rsidRDefault="008E2883" w:rsidP="00F66AC5">
            <w:pPr>
              <w:ind w:left="127" w:right="141"/>
              <w:jc w:val="center"/>
              <w:rPr>
                <w:rFonts w:ascii="Verdana" w:eastAsia="Verdana" w:hAnsi="Verdana" w:cs="Verdana"/>
                <w:sz w:val="16"/>
                <w:szCs w:val="16"/>
              </w:rPr>
            </w:pPr>
            <w:r w:rsidRPr="001A3FFD">
              <w:rPr>
                <w:rFonts w:ascii="Verdana" w:eastAsia="Verdana" w:hAnsi="Verdana" w:cs="Verdana"/>
                <w:b/>
                <w:bCs/>
                <w:sz w:val="16"/>
                <w:szCs w:val="16"/>
              </w:rPr>
              <w:t>Valor </w:t>
            </w:r>
            <w:r w:rsidRPr="001A3FFD">
              <w:rPr>
                <w:rFonts w:ascii="Verdana" w:eastAsia="Verdana" w:hAnsi="Verdana" w:cs="Verdana"/>
                <w:sz w:val="16"/>
                <w:szCs w:val="16"/>
              </w:rPr>
              <w:t> </w:t>
            </w:r>
          </w:p>
        </w:tc>
        <w:tc>
          <w:tcPr>
            <w:tcW w:w="1134"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548DD4" w:themeFill="text2" w:themeFillTint="99"/>
            <w:vAlign w:val="center"/>
            <w:hideMark/>
          </w:tcPr>
          <w:p w14:paraId="02744851" w14:textId="77777777" w:rsidR="008E2883" w:rsidRPr="001A3FFD" w:rsidRDefault="008E2883" w:rsidP="00F66AC5">
            <w:pPr>
              <w:ind w:left="127" w:right="141"/>
              <w:jc w:val="center"/>
              <w:rPr>
                <w:rFonts w:ascii="Verdana" w:eastAsia="Verdana" w:hAnsi="Verdana" w:cs="Verdana"/>
                <w:sz w:val="16"/>
                <w:szCs w:val="16"/>
              </w:rPr>
            </w:pPr>
            <w:r w:rsidRPr="001A3FFD">
              <w:rPr>
                <w:rFonts w:ascii="Verdana" w:eastAsia="Verdana" w:hAnsi="Verdana" w:cs="Verdana"/>
                <w:b/>
                <w:bCs/>
                <w:sz w:val="16"/>
                <w:szCs w:val="16"/>
              </w:rPr>
              <w:t>Modalidad de selección </w:t>
            </w:r>
            <w:r w:rsidRPr="001A3FFD">
              <w:rPr>
                <w:rFonts w:ascii="Verdana" w:eastAsia="Verdana" w:hAnsi="Verdana" w:cs="Verdana"/>
                <w:sz w:val="16"/>
                <w:szCs w:val="16"/>
              </w:rPr>
              <w:t> </w:t>
            </w:r>
          </w:p>
        </w:tc>
        <w:tc>
          <w:tcPr>
            <w:tcW w:w="1701"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548DD4" w:themeFill="text2" w:themeFillTint="99"/>
            <w:vAlign w:val="center"/>
            <w:hideMark/>
          </w:tcPr>
          <w:p w14:paraId="4206F679" w14:textId="68897130" w:rsidR="008E2883" w:rsidRPr="001A3FFD" w:rsidRDefault="008A3E55" w:rsidP="00F66AC5">
            <w:pPr>
              <w:ind w:left="127" w:right="141"/>
              <w:jc w:val="center"/>
              <w:rPr>
                <w:rFonts w:ascii="Verdana" w:eastAsia="Verdana" w:hAnsi="Verdana" w:cs="Verdana"/>
                <w:sz w:val="16"/>
                <w:szCs w:val="16"/>
              </w:rPr>
            </w:pPr>
            <w:r w:rsidRPr="001A3FFD">
              <w:rPr>
                <w:rFonts w:ascii="Verdana" w:eastAsia="Verdana" w:hAnsi="Verdana" w:cs="Verdana"/>
                <w:b/>
                <w:bCs/>
                <w:sz w:val="16"/>
                <w:szCs w:val="16"/>
              </w:rPr>
              <w:t>Asociado</w:t>
            </w:r>
            <w:r w:rsidR="008E2883" w:rsidRPr="001A3FFD">
              <w:rPr>
                <w:rFonts w:ascii="Verdana" w:eastAsia="Verdana" w:hAnsi="Verdana" w:cs="Verdana"/>
                <w:sz w:val="16"/>
                <w:szCs w:val="16"/>
              </w:rPr>
              <w:t> </w:t>
            </w:r>
          </w:p>
        </w:tc>
        <w:tc>
          <w:tcPr>
            <w:tcW w:w="992"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548DD4" w:themeFill="text2" w:themeFillTint="99"/>
            <w:vAlign w:val="center"/>
            <w:hideMark/>
          </w:tcPr>
          <w:p w14:paraId="202A5425" w14:textId="2F5041E5" w:rsidR="008E2883" w:rsidRPr="001A3FFD" w:rsidRDefault="008E2883" w:rsidP="00F66AC5">
            <w:pPr>
              <w:ind w:left="127" w:right="141"/>
              <w:jc w:val="center"/>
              <w:rPr>
                <w:rFonts w:ascii="Verdana" w:eastAsia="Verdana" w:hAnsi="Verdana" w:cs="Verdana"/>
                <w:sz w:val="16"/>
                <w:szCs w:val="16"/>
              </w:rPr>
            </w:pPr>
            <w:r w:rsidRPr="001A3FFD">
              <w:rPr>
                <w:rFonts w:ascii="Verdana" w:eastAsia="Verdana" w:hAnsi="Verdana" w:cs="Verdana"/>
                <w:b/>
                <w:bCs/>
                <w:sz w:val="16"/>
                <w:szCs w:val="16"/>
              </w:rPr>
              <w:t xml:space="preserve">Plazo </w:t>
            </w:r>
          </w:p>
        </w:tc>
      </w:tr>
      <w:tr w:rsidR="00B71178" w:rsidRPr="001A3FFD" w14:paraId="2D0CB362" w14:textId="77777777" w:rsidTr="00B71178">
        <w:trPr>
          <w:trHeight w:val="300"/>
        </w:trPr>
        <w:tc>
          <w:tcPr>
            <w:tcW w:w="1277"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59476F90" w14:textId="3D2874C4" w:rsidR="00B71178" w:rsidRDefault="00B71178" w:rsidP="00B71178">
            <w:pPr>
              <w:ind w:left="127" w:right="141"/>
              <w:jc w:val="center"/>
              <w:rPr>
                <w:rFonts w:ascii="Verdana" w:eastAsia="Verdana" w:hAnsi="Verdana" w:cs="Verdana"/>
                <w:sz w:val="16"/>
                <w:szCs w:val="16"/>
              </w:rPr>
            </w:pPr>
            <w:r w:rsidRPr="00B71178">
              <w:rPr>
                <w:rFonts w:ascii="Verdana" w:eastAsia="Verdana" w:hAnsi="Verdana" w:cs="Verdana"/>
                <w:sz w:val="16"/>
                <w:szCs w:val="16"/>
              </w:rPr>
              <w:t>CO1.PCCNTR.6547796</w:t>
            </w:r>
          </w:p>
          <w:p w14:paraId="54145579" w14:textId="77777777" w:rsidR="00B71178" w:rsidRPr="001A3FFD" w:rsidRDefault="00B71178" w:rsidP="00B71178">
            <w:pPr>
              <w:ind w:left="127" w:right="141"/>
              <w:jc w:val="center"/>
              <w:rPr>
                <w:rFonts w:ascii="Verdana" w:eastAsia="Verdana" w:hAnsi="Verdana" w:cs="Verdana"/>
                <w:sz w:val="16"/>
                <w:szCs w:val="16"/>
              </w:rPr>
            </w:pPr>
          </w:p>
          <w:p w14:paraId="69E83B77" w14:textId="7BEB412A" w:rsidR="00B71178" w:rsidRPr="001A3FFD" w:rsidRDefault="00B71178" w:rsidP="00B71178">
            <w:pPr>
              <w:ind w:left="127" w:right="141"/>
              <w:jc w:val="center"/>
              <w:rPr>
                <w:rFonts w:ascii="Verdana" w:eastAsia="Verdana" w:hAnsi="Verdana" w:cs="Verdana"/>
                <w:sz w:val="16"/>
                <w:szCs w:val="16"/>
              </w:rPr>
            </w:pPr>
            <w:r w:rsidRPr="00B71178">
              <w:rPr>
                <w:rFonts w:ascii="Verdana" w:eastAsia="Verdana" w:hAnsi="Verdana" w:cs="Verdana"/>
                <w:sz w:val="16"/>
                <w:szCs w:val="16"/>
              </w:rPr>
              <w:t>3928</w:t>
            </w:r>
            <w:r>
              <w:rPr>
                <w:rFonts w:ascii="Verdana" w:eastAsia="Verdana" w:hAnsi="Verdana" w:cs="Verdana"/>
                <w:sz w:val="16"/>
                <w:szCs w:val="16"/>
              </w:rPr>
              <w:t xml:space="preserve"> </w:t>
            </w:r>
            <w:r w:rsidRPr="001A3FFD">
              <w:rPr>
                <w:rFonts w:ascii="Verdana" w:eastAsia="Verdana" w:hAnsi="Verdana" w:cs="Verdana"/>
                <w:sz w:val="16"/>
                <w:szCs w:val="16"/>
              </w:rPr>
              <w:t>de 202</w:t>
            </w:r>
            <w:r>
              <w:rPr>
                <w:rFonts w:ascii="Verdana" w:eastAsia="Verdana" w:hAnsi="Verdana" w:cs="Verdana"/>
                <w:sz w:val="16"/>
                <w:szCs w:val="16"/>
              </w:rPr>
              <w:t>4</w:t>
            </w:r>
          </w:p>
        </w:tc>
        <w:tc>
          <w:tcPr>
            <w:tcW w:w="2693"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0D3E3512" w14:textId="583760C8" w:rsidR="00B71178" w:rsidRPr="001A3FFD" w:rsidRDefault="00B71178" w:rsidP="00B71178">
            <w:pPr>
              <w:ind w:left="127" w:right="141"/>
              <w:jc w:val="both"/>
              <w:rPr>
                <w:rFonts w:ascii="Verdana" w:eastAsia="Verdana" w:hAnsi="Verdana" w:cs="Verdana"/>
                <w:sz w:val="16"/>
                <w:szCs w:val="16"/>
              </w:rPr>
            </w:pPr>
            <w:r w:rsidRPr="00B71178">
              <w:rPr>
                <w:rFonts w:ascii="Verdana" w:eastAsia="Verdana" w:hAnsi="Verdana" w:cs="Verdana"/>
                <w:sz w:val="16"/>
                <w:szCs w:val="16"/>
              </w:rPr>
              <w:t>Aunar esfuerzos humanos, administrativos, técnicos y financieros para el fortalecimiento de los</w:t>
            </w:r>
            <w:r>
              <w:rPr>
                <w:rFonts w:ascii="Verdana" w:eastAsia="Verdana" w:hAnsi="Verdana" w:cs="Verdana"/>
                <w:sz w:val="16"/>
                <w:szCs w:val="16"/>
              </w:rPr>
              <w:t xml:space="preserve"> </w:t>
            </w:r>
            <w:r w:rsidRPr="00B71178">
              <w:rPr>
                <w:rFonts w:ascii="Verdana" w:eastAsia="Verdana" w:hAnsi="Verdana" w:cs="Verdana"/>
                <w:sz w:val="16"/>
                <w:szCs w:val="16"/>
              </w:rPr>
              <w:t>sistemas de conocimientos, las economías y las lenguas propias de los pueblos indígenas de</w:t>
            </w:r>
            <w:r>
              <w:rPr>
                <w:rFonts w:ascii="Verdana" w:eastAsia="Verdana" w:hAnsi="Verdana" w:cs="Verdana"/>
                <w:sz w:val="16"/>
                <w:szCs w:val="16"/>
              </w:rPr>
              <w:t xml:space="preserve"> </w:t>
            </w:r>
            <w:r w:rsidRPr="00B71178">
              <w:rPr>
                <w:rFonts w:ascii="Verdana" w:eastAsia="Verdana" w:hAnsi="Verdana" w:cs="Verdana"/>
                <w:sz w:val="16"/>
                <w:szCs w:val="16"/>
              </w:rPr>
              <w:t>la Amazonía Colombiana, en el marco de los acuerdos establecidos con la MRA en el proceso</w:t>
            </w:r>
            <w:r>
              <w:rPr>
                <w:rFonts w:ascii="Verdana" w:eastAsia="Verdana" w:hAnsi="Verdana" w:cs="Verdana"/>
                <w:sz w:val="16"/>
                <w:szCs w:val="16"/>
              </w:rPr>
              <w:t xml:space="preserve"> </w:t>
            </w:r>
            <w:r w:rsidRPr="00B71178">
              <w:rPr>
                <w:rFonts w:ascii="Verdana" w:eastAsia="Verdana" w:hAnsi="Verdana" w:cs="Verdana"/>
                <w:sz w:val="16"/>
                <w:szCs w:val="16"/>
              </w:rPr>
              <w:t>de consulta previa del Plan Nacional de Desarroll</w:t>
            </w:r>
            <w:r>
              <w:rPr>
                <w:rFonts w:ascii="Verdana" w:eastAsia="Verdana" w:hAnsi="Verdana" w:cs="Verdana"/>
                <w:sz w:val="16"/>
                <w:szCs w:val="16"/>
              </w:rPr>
              <w:t>o.</w:t>
            </w:r>
          </w:p>
        </w:tc>
        <w:tc>
          <w:tcPr>
            <w:tcW w:w="1701"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2686B481" w14:textId="24774D54" w:rsidR="00B71178" w:rsidRPr="001A3FFD" w:rsidRDefault="00B71178" w:rsidP="00B71178">
            <w:pPr>
              <w:ind w:left="127" w:right="141"/>
              <w:jc w:val="center"/>
              <w:rPr>
                <w:rFonts w:ascii="Verdana" w:eastAsia="Verdana" w:hAnsi="Verdana" w:cs="Verdana"/>
                <w:sz w:val="16"/>
                <w:szCs w:val="16"/>
              </w:rPr>
            </w:pPr>
            <w:r w:rsidRPr="001A3FFD">
              <w:rPr>
                <w:rFonts w:ascii="Verdana" w:eastAsia="Verdana" w:hAnsi="Verdana" w:cs="Verdana"/>
                <w:sz w:val="16"/>
                <w:szCs w:val="16"/>
              </w:rPr>
              <w:t>$</w:t>
            </w:r>
            <w:r>
              <w:rPr>
                <w:rFonts w:ascii="Verdana" w:eastAsia="Verdana" w:hAnsi="Verdana" w:cs="Verdana"/>
                <w:sz w:val="16"/>
                <w:szCs w:val="16"/>
              </w:rPr>
              <w:t>1.175.</w:t>
            </w:r>
            <w:r w:rsidRPr="001A3FFD">
              <w:rPr>
                <w:rFonts w:ascii="Verdana" w:eastAsia="Verdana" w:hAnsi="Verdana" w:cs="Verdana"/>
                <w:sz w:val="16"/>
                <w:szCs w:val="16"/>
              </w:rPr>
              <w:t>000.000 </w:t>
            </w:r>
          </w:p>
        </w:tc>
        <w:tc>
          <w:tcPr>
            <w:tcW w:w="1134"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18C77ED9" w14:textId="5696F815" w:rsidR="00B71178" w:rsidRPr="001A3FFD" w:rsidRDefault="00B71178" w:rsidP="00B71178">
            <w:pPr>
              <w:ind w:left="127" w:right="141"/>
              <w:jc w:val="center"/>
              <w:rPr>
                <w:rFonts w:ascii="Verdana" w:eastAsia="Verdana" w:hAnsi="Verdana" w:cs="Verdana"/>
                <w:sz w:val="16"/>
                <w:szCs w:val="16"/>
                <w:lang w:val="pt-BR"/>
              </w:rPr>
            </w:pPr>
            <w:r>
              <w:rPr>
                <w:rFonts w:ascii="Verdana" w:eastAsia="Verdana" w:hAnsi="Verdana" w:cs="Verdana"/>
                <w:sz w:val="16"/>
                <w:szCs w:val="16"/>
              </w:rPr>
              <w:t>Contratación directa</w:t>
            </w:r>
            <w:r w:rsidRPr="001A3FFD">
              <w:rPr>
                <w:rFonts w:ascii="Verdana" w:eastAsia="Verdana" w:hAnsi="Verdana" w:cs="Verdana"/>
                <w:sz w:val="16"/>
                <w:szCs w:val="16"/>
              </w:rPr>
              <w:t xml:space="preserve"> </w:t>
            </w:r>
          </w:p>
        </w:tc>
        <w:tc>
          <w:tcPr>
            <w:tcW w:w="1701"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385A1756" w14:textId="2C5FEB69" w:rsidR="00B71178" w:rsidRPr="001A3FFD" w:rsidRDefault="00B71178" w:rsidP="00B71178">
            <w:pPr>
              <w:ind w:right="141"/>
              <w:jc w:val="center"/>
              <w:rPr>
                <w:rFonts w:ascii="Verdana" w:eastAsia="Verdana" w:hAnsi="Verdana" w:cs="Verdana"/>
                <w:sz w:val="16"/>
                <w:szCs w:val="16"/>
              </w:rPr>
            </w:pPr>
            <w:r w:rsidRPr="00477319">
              <w:rPr>
                <w:rFonts w:ascii="Verdana" w:eastAsia="Verdana" w:hAnsi="Verdana" w:cs="Verdana"/>
                <w:sz w:val="16"/>
                <w:szCs w:val="16"/>
              </w:rPr>
              <w:t>ORGANIZACIÓN</w:t>
            </w:r>
            <w:r>
              <w:rPr>
                <w:rFonts w:ascii="Verdana" w:eastAsia="Verdana" w:hAnsi="Verdana" w:cs="Verdana"/>
                <w:sz w:val="16"/>
                <w:szCs w:val="16"/>
              </w:rPr>
              <w:t xml:space="preserve"> </w:t>
            </w:r>
            <w:r w:rsidRPr="00477319">
              <w:rPr>
                <w:rFonts w:ascii="Verdana" w:eastAsia="Verdana" w:hAnsi="Verdana" w:cs="Verdana"/>
                <w:sz w:val="16"/>
                <w:szCs w:val="16"/>
              </w:rPr>
              <w:t>NACIONAL DE LOS PUEBLOS</w:t>
            </w:r>
            <w:r>
              <w:rPr>
                <w:rFonts w:ascii="Verdana" w:eastAsia="Verdana" w:hAnsi="Verdana" w:cs="Verdana"/>
                <w:sz w:val="16"/>
                <w:szCs w:val="16"/>
              </w:rPr>
              <w:t xml:space="preserve"> </w:t>
            </w:r>
            <w:r w:rsidRPr="00477319">
              <w:rPr>
                <w:rFonts w:ascii="Verdana" w:eastAsia="Verdana" w:hAnsi="Verdana" w:cs="Verdana"/>
                <w:sz w:val="16"/>
                <w:szCs w:val="16"/>
              </w:rPr>
              <w:t>INDIGENAS DE LA AMAZONIA</w:t>
            </w:r>
            <w:r>
              <w:rPr>
                <w:rFonts w:ascii="Verdana" w:eastAsia="Verdana" w:hAnsi="Verdana" w:cs="Verdana"/>
                <w:sz w:val="16"/>
                <w:szCs w:val="16"/>
              </w:rPr>
              <w:t xml:space="preserve"> </w:t>
            </w:r>
            <w:r w:rsidRPr="00477319">
              <w:rPr>
                <w:rFonts w:ascii="Verdana" w:eastAsia="Verdana" w:hAnsi="Verdana" w:cs="Verdana"/>
                <w:sz w:val="16"/>
                <w:szCs w:val="16"/>
              </w:rPr>
              <w:t>COLOMBIANA</w:t>
            </w:r>
            <w:r>
              <w:rPr>
                <w:rFonts w:ascii="Verdana" w:eastAsia="Verdana" w:hAnsi="Verdana" w:cs="Verdana"/>
                <w:sz w:val="16"/>
                <w:szCs w:val="16"/>
              </w:rPr>
              <w:t xml:space="preserve"> – OPIAC -</w:t>
            </w:r>
          </w:p>
        </w:tc>
        <w:tc>
          <w:tcPr>
            <w:tcW w:w="992"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733E032C" w14:textId="3770EA98" w:rsidR="00B71178" w:rsidRPr="001A3FFD" w:rsidRDefault="00B71178" w:rsidP="00B71178">
            <w:pPr>
              <w:ind w:right="141"/>
              <w:jc w:val="center"/>
              <w:rPr>
                <w:rFonts w:ascii="Verdana" w:eastAsia="Verdana" w:hAnsi="Verdana" w:cs="Verdana"/>
                <w:sz w:val="16"/>
                <w:szCs w:val="16"/>
              </w:rPr>
            </w:pPr>
            <w:r>
              <w:rPr>
                <w:rFonts w:ascii="Verdana" w:eastAsia="Verdana" w:hAnsi="Verdana" w:cs="Verdana"/>
                <w:sz w:val="16"/>
                <w:szCs w:val="16"/>
              </w:rPr>
              <w:t>379</w:t>
            </w:r>
            <w:r w:rsidRPr="001A3FFD">
              <w:rPr>
                <w:rFonts w:ascii="Verdana" w:eastAsia="Verdana" w:hAnsi="Verdana" w:cs="Verdana"/>
                <w:sz w:val="16"/>
                <w:szCs w:val="16"/>
              </w:rPr>
              <w:t xml:space="preserve"> días</w:t>
            </w:r>
          </w:p>
        </w:tc>
      </w:tr>
      <w:tr w:rsidR="00B71178" w:rsidRPr="001A3FFD" w14:paraId="4BDC376C" w14:textId="77777777" w:rsidTr="00B71178">
        <w:trPr>
          <w:trHeight w:val="300"/>
        </w:trPr>
        <w:tc>
          <w:tcPr>
            <w:tcW w:w="1277"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7364A605" w14:textId="7741FAFC" w:rsidR="00B71178" w:rsidRPr="001A3FFD" w:rsidRDefault="00B71178" w:rsidP="00B71178">
            <w:pPr>
              <w:ind w:left="127" w:right="141"/>
              <w:jc w:val="center"/>
              <w:rPr>
                <w:rFonts w:ascii="Verdana" w:eastAsia="Verdana" w:hAnsi="Verdana" w:cs="Verdana"/>
                <w:sz w:val="16"/>
                <w:szCs w:val="16"/>
              </w:rPr>
            </w:pPr>
            <w:r w:rsidRPr="00477319">
              <w:rPr>
                <w:rFonts w:ascii="Verdana" w:eastAsia="Verdana" w:hAnsi="Verdana" w:cs="Verdana"/>
                <w:sz w:val="16"/>
                <w:szCs w:val="16"/>
              </w:rPr>
              <w:t>CO1.PCCNTR.548120</w:t>
            </w:r>
          </w:p>
          <w:p w14:paraId="6C64ACA5" w14:textId="7652D262" w:rsidR="00B71178" w:rsidRPr="001A3FFD" w:rsidRDefault="00B71178" w:rsidP="00B71178">
            <w:pPr>
              <w:ind w:left="127" w:right="141"/>
              <w:jc w:val="center"/>
              <w:rPr>
                <w:rFonts w:ascii="Verdana" w:eastAsia="Verdana" w:hAnsi="Verdana" w:cs="Verdana"/>
                <w:sz w:val="16"/>
                <w:szCs w:val="16"/>
              </w:rPr>
            </w:pPr>
            <w:r w:rsidRPr="001A3FFD">
              <w:rPr>
                <w:rFonts w:ascii="Verdana" w:eastAsia="Verdana" w:hAnsi="Verdana" w:cs="Verdana"/>
                <w:sz w:val="16"/>
                <w:szCs w:val="16"/>
              </w:rPr>
              <w:t>4</w:t>
            </w:r>
            <w:r>
              <w:rPr>
                <w:rFonts w:ascii="Verdana" w:eastAsia="Verdana" w:hAnsi="Verdana" w:cs="Verdana"/>
                <w:sz w:val="16"/>
                <w:szCs w:val="16"/>
              </w:rPr>
              <w:t xml:space="preserve">453 </w:t>
            </w:r>
            <w:r w:rsidRPr="001A3FFD">
              <w:rPr>
                <w:rFonts w:ascii="Verdana" w:eastAsia="Verdana" w:hAnsi="Verdana" w:cs="Verdana"/>
                <w:sz w:val="16"/>
                <w:szCs w:val="16"/>
              </w:rPr>
              <w:t>de 2023</w:t>
            </w:r>
          </w:p>
        </w:tc>
        <w:tc>
          <w:tcPr>
            <w:tcW w:w="2693"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6D403791" w14:textId="395EA588" w:rsidR="00B71178" w:rsidRPr="001A3FFD" w:rsidRDefault="00B71178" w:rsidP="00B71178">
            <w:pPr>
              <w:ind w:left="127" w:right="141"/>
              <w:jc w:val="both"/>
              <w:rPr>
                <w:rFonts w:ascii="Verdana" w:eastAsia="Verdana" w:hAnsi="Verdana" w:cs="Verdana"/>
                <w:sz w:val="16"/>
                <w:szCs w:val="16"/>
              </w:rPr>
            </w:pPr>
            <w:r w:rsidRPr="00477319">
              <w:rPr>
                <w:rFonts w:ascii="Verdana" w:eastAsia="Verdana" w:hAnsi="Verdana" w:cs="Verdana"/>
                <w:sz w:val="16"/>
                <w:szCs w:val="16"/>
              </w:rPr>
              <w:t>Aunar esfuerzos humanos, técnicos,</w:t>
            </w:r>
            <w:r>
              <w:rPr>
                <w:rFonts w:ascii="Verdana" w:eastAsia="Verdana" w:hAnsi="Verdana" w:cs="Verdana"/>
                <w:sz w:val="16"/>
                <w:szCs w:val="16"/>
              </w:rPr>
              <w:t xml:space="preserve"> </w:t>
            </w:r>
            <w:r w:rsidRPr="00477319">
              <w:rPr>
                <w:rFonts w:ascii="Verdana" w:eastAsia="Verdana" w:hAnsi="Verdana" w:cs="Verdana"/>
                <w:sz w:val="16"/>
                <w:szCs w:val="16"/>
              </w:rPr>
              <w:t>administrativos y financieros que permitan el fortalecimiento de las escuelas o procesos</w:t>
            </w:r>
            <w:r>
              <w:rPr>
                <w:rFonts w:ascii="Verdana" w:eastAsia="Verdana" w:hAnsi="Verdana" w:cs="Verdana"/>
                <w:sz w:val="16"/>
                <w:szCs w:val="16"/>
              </w:rPr>
              <w:t xml:space="preserve"> </w:t>
            </w:r>
            <w:r w:rsidRPr="00477319">
              <w:rPr>
                <w:rFonts w:ascii="Verdana" w:eastAsia="Verdana" w:hAnsi="Verdana" w:cs="Verdana"/>
                <w:sz w:val="16"/>
                <w:szCs w:val="16"/>
              </w:rPr>
              <w:t>de formación en comunicación indígena, y la implementación de acciones en el marco</w:t>
            </w:r>
            <w:r>
              <w:rPr>
                <w:rFonts w:ascii="Verdana" w:eastAsia="Verdana" w:hAnsi="Verdana" w:cs="Verdana"/>
                <w:sz w:val="16"/>
                <w:szCs w:val="16"/>
              </w:rPr>
              <w:t xml:space="preserve"> </w:t>
            </w:r>
            <w:r w:rsidRPr="00477319">
              <w:rPr>
                <w:rFonts w:ascii="Verdana" w:eastAsia="Verdana" w:hAnsi="Verdana" w:cs="Verdana"/>
                <w:sz w:val="16"/>
                <w:szCs w:val="16"/>
              </w:rPr>
              <w:t>de la construcción y desarrollo del Capítulo Pueblos Indígenas del Programa de</w:t>
            </w:r>
            <w:r>
              <w:rPr>
                <w:rFonts w:ascii="Verdana" w:eastAsia="Verdana" w:hAnsi="Verdana" w:cs="Verdana"/>
                <w:sz w:val="16"/>
                <w:szCs w:val="16"/>
              </w:rPr>
              <w:t xml:space="preserve"> </w:t>
            </w:r>
            <w:r w:rsidRPr="00477319">
              <w:rPr>
                <w:rFonts w:ascii="Verdana" w:eastAsia="Verdana" w:hAnsi="Verdana" w:cs="Verdana"/>
                <w:sz w:val="16"/>
                <w:szCs w:val="16"/>
              </w:rPr>
              <w:t xml:space="preserve">Patrimonio </w:t>
            </w:r>
            <w:r w:rsidRPr="00477319">
              <w:rPr>
                <w:rFonts w:ascii="Verdana" w:eastAsia="Verdana" w:hAnsi="Verdana" w:cs="Verdana"/>
                <w:sz w:val="16"/>
                <w:szCs w:val="16"/>
              </w:rPr>
              <w:lastRenderedPageBreak/>
              <w:t>Audiovisual Colombiano, PACCP</w:t>
            </w:r>
            <w:r>
              <w:rPr>
                <w:rFonts w:ascii="Verdana" w:eastAsia="Verdana" w:hAnsi="Verdana" w:cs="Verdana"/>
                <w:sz w:val="16"/>
                <w:szCs w:val="16"/>
              </w:rPr>
              <w:t>I</w:t>
            </w:r>
          </w:p>
        </w:tc>
        <w:tc>
          <w:tcPr>
            <w:tcW w:w="1701"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53A098CE" w14:textId="6B1662AE" w:rsidR="00B71178" w:rsidRPr="001A3FFD" w:rsidRDefault="00B71178" w:rsidP="00B71178">
            <w:pPr>
              <w:ind w:left="127" w:right="141"/>
              <w:jc w:val="center"/>
              <w:rPr>
                <w:rFonts w:ascii="Verdana" w:eastAsia="Verdana" w:hAnsi="Verdana" w:cs="Verdana"/>
                <w:sz w:val="16"/>
                <w:szCs w:val="16"/>
              </w:rPr>
            </w:pPr>
            <w:r w:rsidRPr="001A3FFD">
              <w:rPr>
                <w:rFonts w:ascii="Verdana" w:eastAsia="Verdana" w:hAnsi="Verdana" w:cs="Verdana"/>
                <w:sz w:val="16"/>
                <w:szCs w:val="16"/>
              </w:rPr>
              <w:lastRenderedPageBreak/>
              <w:t>$</w:t>
            </w:r>
            <w:r>
              <w:rPr>
                <w:rFonts w:ascii="Verdana" w:eastAsia="Verdana" w:hAnsi="Verdana" w:cs="Verdana"/>
                <w:sz w:val="16"/>
                <w:szCs w:val="16"/>
              </w:rPr>
              <w:t>935</w:t>
            </w:r>
            <w:r w:rsidRPr="001A3FFD">
              <w:rPr>
                <w:rFonts w:ascii="Verdana" w:eastAsia="Verdana" w:hAnsi="Verdana" w:cs="Verdana"/>
                <w:sz w:val="16"/>
                <w:szCs w:val="16"/>
              </w:rPr>
              <w:t>.000.000</w:t>
            </w:r>
          </w:p>
        </w:tc>
        <w:tc>
          <w:tcPr>
            <w:tcW w:w="1134"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5312FCAA" w14:textId="01233C83" w:rsidR="00B71178" w:rsidRPr="001A3FFD" w:rsidRDefault="00B71178" w:rsidP="00B71178">
            <w:pPr>
              <w:ind w:left="127" w:right="141"/>
              <w:jc w:val="center"/>
              <w:rPr>
                <w:rFonts w:ascii="Verdana" w:eastAsia="Verdana" w:hAnsi="Verdana" w:cs="Verdana"/>
                <w:sz w:val="16"/>
                <w:szCs w:val="16"/>
              </w:rPr>
            </w:pPr>
            <w:r>
              <w:rPr>
                <w:rFonts w:ascii="Verdana" w:eastAsia="Verdana" w:hAnsi="Verdana" w:cs="Verdana"/>
                <w:sz w:val="16"/>
                <w:szCs w:val="16"/>
              </w:rPr>
              <w:t>Contratación directa</w:t>
            </w:r>
            <w:r w:rsidRPr="001A3FFD">
              <w:rPr>
                <w:rFonts w:ascii="Verdana" w:eastAsia="Verdana" w:hAnsi="Verdana" w:cs="Verdana"/>
                <w:sz w:val="16"/>
                <w:szCs w:val="16"/>
              </w:rPr>
              <w:t xml:space="preserve"> </w:t>
            </w:r>
          </w:p>
        </w:tc>
        <w:tc>
          <w:tcPr>
            <w:tcW w:w="1701"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1A73D9D4" w14:textId="5D5155D5" w:rsidR="00B71178" w:rsidRPr="001A3FFD" w:rsidRDefault="00B71178" w:rsidP="00B71178">
            <w:pPr>
              <w:ind w:left="140" w:right="141"/>
              <w:jc w:val="center"/>
              <w:rPr>
                <w:rFonts w:ascii="Verdana" w:eastAsia="Verdana" w:hAnsi="Verdana" w:cs="Verdana"/>
                <w:sz w:val="16"/>
                <w:szCs w:val="16"/>
              </w:rPr>
            </w:pPr>
            <w:r w:rsidRPr="00477319">
              <w:rPr>
                <w:rFonts w:ascii="Verdana" w:eastAsia="Verdana" w:hAnsi="Verdana" w:cs="Verdana"/>
                <w:sz w:val="16"/>
                <w:szCs w:val="16"/>
              </w:rPr>
              <w:t>ORGANIZACIÓN</w:t>
            </w:r>
            <w:r>
              <w:rPr>
                <w:rFonts w:ascii="Verdana" w:eastAsia="Verdana" w:hAnsi="Verdana" w:cs="Verdana"/>
                <w:sz w:val="16"/>
                <w:szCs w:val="16"/>
              </w:rPr>
              <w:t xml:space="preserve"> </w:t>
            </w:r>
            <w:r w:rsidRPr="00477319">
              <w:rPr>
                <w:rFonts w:ascii="Verdana" w:eastAsia="Verdana" w:hAnsi="Verdana" w:cs="Verdana"/>
                <w:sz w:val="16"/>
                <w:szCs w:val="16"/>
              </w:rPr>
              <w:t>NACIONAL DE LOS PUEBLOS</w:t>
            </w:r>
            <w:r>
              <w:rPr>
                <w:rFonts w:ascii="Verdana" w:eastAsia="Verdana" w:hAnsi="Verdana" w:cs="Verdana"/>
                <w:sz w:val="16"/>
                <w:szCs w:val="16"/>
              </w:rPr>
              <w:t xml:space="preserve"> </w:t>
            </w:r>
            <w:r w:rsidRPr="00477319">
              <w:rPr>
                <w:rFonts w:ascii="Verdana" w:eastAsia="Verdana" w:hAnsi="Verdana" w:cs="Verdana"/>
                <w:sz w:val="16"/>
                <w:szCs w:val="16"/>
              </w:rPr>
              <w:t>INDIGENAS DE LA AMAZONIA</w:t>
            </w:r>
            <w:r>
              <w:rPr>
                <w:rFonts w:ascii="Verdana" w:eastAsia="Verdana" w:hAnsi="Verdana" w:cs="Verdana"/>
                <w:sz w:val="16"/>
                <w:szCs w:val="16"/>
              </w:rPr>
              <w:t xml:space="preserve"> </w:t>
            </w:r>
            <w:r w:rsidRPr="00477319">
              <w:rPr>
                <w:rFonts w:ascii="Verdana" w:eastAsia="Verdana" w:hAnsi="Verdana" w:cs="Verdana"/>
                <w:sz w:val="16"/>
                <w:szCs w:val="16"/>
              </w:rPr>
              <w:t>COLOMBIANA</w:t>
            </w:r>
            <w:r>
              <w:rPr>
                <w:rFonts w:ascii="Verdana" w:eastAsia="Verdana" w:hAnsi="Verdana" w:cs="Verdana"/>
                <w:sz w:val="16"/>
                <w:szCs w:val="16"/>
              </w:rPr>
              <w:t xml:space="preserve"> – OPIAC -</w:t>
            </w:r>
          </w:p>
        </w:tc>
        <w:tc>
          <w:tcPr>
            <w:tcW w:w="992" w:type="dxa"/>
            <w:tc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tcBorders>
            <w:shd w:val="clear" w:color="auto" w:fill="FFFFFF" w:themeFill="background1"/>
            <w:vAlign w:val="center"/>
          </w:tcPr>
          <w:p w14:paraId="69786C36" w14:textId="2C00D716" w:rsidR="00B71178" w:rsidRPr="001A3FFD" w:rsidRDefault="00B71178" w:rsidP="00B71178">
            <w:pPr>
              <w:ind w:left="127" w:right="141"/>
              <w:jc w:val="center"/>
              <w:rPr>
                <w:rFonts w:ascii="Verdana" w:eastAsia="Verdana" w:hAnsi="Verdana" w:cs="Verdana"/>
                <w:sz w:val="16"/>
                <w:szCs w:val="16"/>
              </w:rPr>
            </w:pPr>
            <w:r>
              <w:rPr>
                <w:rFonts w:ascii="Verdana" w:eastAsia="Verdana" w:hAnsi="Verdana" w:cs="Verdana"/>
                <w:sz w:val="16"/>
                <w:szCs w:val="16"/>
              </w:rPr>
              <w:t>37</w:t>
            </w:r>
            <w:r w:rsidRPr="001A3FFD">
              <w:rPr>
                <w:rFonts w:ascii="Verdana" w:eastAsia="Verdana" w:hAnsi="Verdana" w:cs="Verdana"/>
                <w:sz w:val="16"/>
                <w:szCs w:val="16"/>
              </w:rPr>
              <w:t xml:space="preserve"> días</w:t>
            </w:r>
          </w:p>
        </w:tc>
      </w:tr>
    </w:tbl>
    <w:p w14:paraId="33F59746" w14:textId="5692B394" w:rsidR="00393F54" w:rsidRPr="001A3FFD" w:rsidRDefault="00393F54" w:rsidP="008A3E55">
      <w:pPr>
        <w:ind w:left="-567" w:right="-801"/>
        <w:jc w:val="center"/>
        <w:rPr>
          <w:rFonts w:ascii="Verdana" w:eastAsia="Verdana" w:hAnsi="Verdana" w:cs="Verdana"/>
          <w:i/>
          <w:iCs/>
          <w:sz w:val="16"/>
          <w:szCs w:val="16"/>
        </w:rPr>
      </w:pPr>
      <w:r w:rsidRPr="001A3FFD">
        <w:rPr>
          <w:rFonts w:ascii="Verdana" w:eastAsia="Verdana" w:hAnsi="Verdana" w:cs="Verdana"/>
          <w:i/>
          <w:iCs/>
          <w:sz w:val="16"/>
          <w:szCs w:val="16"/>
        </w:rPr>
        <w:t>Fuente: SECOP II</w:t>
      </w:r>
      <w:r w:rsidR="008A3E55" w:rsidRPr="001A3FFD">
        <w:rPr>
          <w:rFonts w:ascii="Verdana" w:eastAsia="Verdana" w:hAnsi="Verdana" w:cs="Verdana"/>
          <w:i/>
          <w:iCs/>
          <w:sz w:val="16"/>
          <w:szCs w:val="16"/>
        </w:rPr>
        <w:t xml:space="preserve"> – AZ Digital, </w:t>
      </w:r>
      <w:proofErr w:type="spellStart"/>
      <w:r w:rsidR="008A3E55" w:rsidRPr="001A3FFD">
        <w:rPr>
          <w:rFonts w:ascii="Verdana" w:eastAsia="Verdana" w:hAnsi="Verdana" w:cs="Verdana"/>
          <w:i/>
          <w:iCs/>
          <w:sz w:val="16"/>
          <w:szCs w:val="16"/>
        </w:rPr>
        <w:t>Minculturas</w:t>
      </w:r>
      <w:proofErr w:type="spellEnd"/>
    </w:p>
    <w:p w14:paraId="3A0E8A6A" w14:textId="6EC7B819" w:rsidR="36219D16" w:rsidRPr="001A3FFD" w:rsidRDefault="36219D16" w:rsidP="36219D16">
      <w:pPr>
        <w:ind w:left="-567" w:right="-801"/>
        <w:jc w:val="center"/>
        <w:rPr>
          <w:rFonts w:ascii="Verdana" w:eastAsia="Verdana" w:hAnsi="Verdana" w:cs="Verdana"/>
          <w:i/>
          <w:iCs/>
          <w:sz w:val="20"/>
          <w:szCs w:val="20"/>
        </w:rPr>
      </w:pPr>
    </w:p>
    <w:p w14:paraId="4CDCB8BC" w14:textId="43F568D9" w:rsidR="0058181C" w:rsidRPr="001A3FFD" w:rsidRDefault="0058181C" w:rsidP="00BB0A65">
      <w:pPr>
        <w:pStyle w:val="Prrafodelista"/>
        <w:numPr>
          <w:ilvl w:val="1"/>
          <w:numId w:val="4"/>
        </w:numPr>
        <w:spacing w:after="240"/>
        <w:ind w:left="-567" w:right="-801" w:firstLine="0"/>
        <w:jc w:val="both"/>
        <w:rPr>
          <w:rFonts w:ascii="Verdana" w:eastAsia="Verdana" w:hAnsi="Verdana" w:cs="Verdana"/>
          <w:b/>
          <w:bCs/>
          <w:sz w:val="20"/>
          <w:szCs w:val="20"/>
        </w:rPr>
      </w:pPr>
      <w:r w:rsidRPr="001A3FFD">
        <w:rPr>
          <w:rFonts w:ascii="Verdana" w:eastAsia="Verdana" w:hAnsi="Verdana" w:cs="Verdana"/>
          <w:b/>
          <w:bCs/>
          <w:sz w:val="20"/>
          <w:szCs w:val="20"/>
        </w:rPr>
        <w:t>Análisis de los Procesos de Contratación identificados</w:t>
      </w:r>
      <w:bookmarkEnd w:id="1"/>
      <w:r w:rsidRPr="001A3FFD">
        <w:rPr>
          <w:rFonts w:ascii="Verdana" w:eastAsia="Verdana" w:hAnsi="Verdana" w:cs="Verdana"/>
          <w:b/>
          <w:bCs/>
          <w:sz w:val="20"/>
          <w:szCs w:val="20"/>
        </w:rPr>
        <w:t xml:space="preserve"> </w:t>
      </w:r>
    </w:p>
    <w:p w14:paraId="55FB4F76" w14:textId="77777777" w:rsidR="00A44AE9" w:rsidRPr="001A3FFD" w:rsidRDefault="00A44AE9" w:rsidP="00BB0A65">
      <w:pPr>
        <w:pStyle w:val="Prrafodelista"/>
        <w:ind w:left="-567" w:right="-801"/>
        <w:jc w:val="both"/>
        <w:rPr>
          <w:rFonts w:ascii="Verdana" w:eastAsia="Verdana" w:hAnsi="Verdana" w:cs="Verdana"/>
          <w:i/>
          <w:iCs/>
          <w:sz w:val="20"/>
          <w:szCs w:val="20"/>
        </w:rPr>
      </w:pPr>
      <w:bookmarkStart w:id="2" w:name="_Toc56091429"/>
      <w:bookmarkStart w:id="3" w:name="_Toc56091426"/>
      <w:bookmarkEnd w:id="2"/>
    </w:p>
    <w:p w14:paraId="0A1201AF" w14:textId="3129C007" w:rsidR="00681508" w:rsidRPr="001A3FFD" w:rsidRDefault="00A45A16" w:rsidP="00BB0A65">
      <w:pPr>
        <w:spacing w:before="120" w:after="120"/>
        <w:ind w:left="-567" w:right="-801"/>
        <w:jc w:val="both"/>
        <w:rPr>
          <w:rFonts w:ascii="Verdana" w:eastAsia="Verdana" w:hAnsi="Verdana" w:cs="Verdana"/>
          <w:sz w:val="20"/>
          <w:szCs w:val="20"/>
        </w:rPr>
      </w:pPr>
      <w:r w:rsidRPr="001A3FFD">
        <w:rPr>
          <w:rFonts w:ascii="Verdana" w:eastAsia="Verdana" w:hAnsi="Verdana" w:cs="Verdana"/>
          <w:b/>
          <w:bCs/>
          <w:i/>
          <w:iCs/>
          <w:sz w:val="20"/>
          <w:szCs w:val="20"/>
        </w:rPr>
        <w:t>Modalidad de Contratación</w:t>
      </w:r>
      <w:bookmarkEnd w:id="3"/>
      <w:r w:rsidR="008A3E55" w:rsidRPr="001A3FFD">
        <w:rPr>
          <w:rFonts w:ascii="Verdana" w:eastAsia="Verdana" w:hAnsi="Verdana" w:cs="Verdana"/>
          <w:b/>
          <w:bCs/>
          <w:i/>
          <w:iCs/>
          <w:sz w:val="20"/>
          <w:szCs w:val="20"/>
        </w:rPr>
        <w:t xml:space="preserve">: </w:t>
      </w:r>
      <w:r w:rsidRPr="001A3FFD">
        <w:rPr>
          <w:rFonts w:ascii="Verdana" w:eastAsia="Verdana" w:hAnsi="Verdana" w:cs="Verdana"/>
          <w:sz w:val="20"/>
          <w:szCs w:val="20"/>
        </w:rPr>
        <w:t xml:space="preserve">Del análisis de los procesos de contratación, se observa que </w:t>
      </w:r>
      <w:r w:rsidR="00A44AE9" w:rsidRPr="001A3FFD">
        <w:rPr>
          <w:rFonts w:ascii="Verdana" w:eastAsia="Verdana" w:hAnsi="Verdana" w:cs="Verdana"/>
          <w:sz w:val="20"/>
          <w:szCs w:val="20"/>
        </w:rPr>
        <w:t xml:space="preserve">los </w:t>
      </w:r>
      <w:r w:rsidR="00892B81" w:rsidRPr="001A3FFD">
        <w:rPr>
          <w:rFonts w:ascii="Verdana" w:eastAsia="Verdana" w:hAnsi="Verdana" w:cs="Verdana"/>
          <w:sz w:val="20"/>
          <w:szCs w:val="20"/>
        </w:rPr>
        <w:t xml:space="preserve">tres procesos se realizaron </w:t>
      </w:r>
      <w:r w:rsidR="00681508" w:rsidRPr="001A3FFD">
        <w:rPr>
          <w:rFonts w:ascii="Verdana" w:eastAsia="Verdana" w:hAnsi="Verdana" w:cs="Verdana"/>
          <w:sz w:val="20"/>
          <w:szCs w:val="20"/>
        </w:rPr>
        <w:t xml:space="preserve">bajo la modalidad de </w:t>
      </w:r>
      <w:r w:rsidR="00A44AE9" w:rsidRPr="001A3FFD">
        <w:rPr>
          <w:rFonts w:ascii="Verdana" w:eastAsia="Verdana" w:hAnsi="Verdana" w:cs="Verdana"/>
          <w:b/>
          <w:bCs/>
          <w:i/>
          <w:iCs/>
          <w:sz w:val="20"/>
          <w:szCs w:val="20"/>
        </w:rPr>
        <w:t>contratación directa</w:t>
      </w:r>
      <w:r w:rsidR="00915F3F" w:rsidRPr="001A3FFD">
        <w:rPr>
          <w:rFonts w:ascii="Verdana" w:eastAsia="Verdana" w:hAnsi="Verdana" w:cs="Verdana"/>
          <w:sz w:val="20"/>
          <w:szCs w:val="20"/>
        </w:rPr>
        <w:t>.</w:t>
      </w:r>
    </w:p>
    <w:p w14:paraId="20088160" w14:textId="079FEB71" w:rsidR="00D90755" w:rsidRPr="001A3FFD" w:rsidRDefault="00D90755" w:rsidP="00BB0A65">
      <w:pPr>
        <w:ind w:left="-567" w:right="-801"/>
        <w:jc w:val="both"/>
        <w:textAlignment w:val="baseline"/>
        <w:rPr>
          <w:rFonts w:ascii="Verdana" w:eastAsia="Verdana" w:hAnsi="Verdana" w:cs="Verdana"/>
          <w:sz w:val="20"/>
          <w:szCs w:val="20"/>
        </w:rPr>
      </w:pPr>
      <w:r w:rsidRPr="001A3FFD">
        <w:rPr>
          <w:rFonts w:ascii="Verdana" w:eastAsia="Verdana" w:hAnsi="Verdana" w:cs="Verdana"/>
          <w:b/>
          <w:bCs/>
          <w:i/>
          <w:iCs/>
          <w:sz w:val="20"/>
          <w:szCs w:val="20"/>
        </w:rPr>
        <w:t>Plazo del contrato</w:t>
      </w:r>
      <w:r w:rsidR="008A3E55" w:rsidRPr="001A3FFD">
        <w:rPr>
          <w:rFonts w:ascii="Verdana" w:eastAsia="Verdana" w:hAnsi="Verdana" w:cs="Verdana"/>
          <w:b/>
          <w:bCs/>
          <w:i/>
          <w:iCs/>
          <w:sz w:val="20"/>
          <w:szCs w:val="20"/>
        </w:rPr>
        <w:t xml:space="preserve">: </w:t>
      </w:r>
      <w:r w:rsidRPr="001A3FFD">
        <w:rPr>
          <w:rFonts w:ascii="Verdana" w:eastAsia="Verdana" w:hAnsi="Verdana" w:cs="Verdana"/>
          <w:sz w:val="20"/>
          <w:szCs w:val="20"/>
        </w:rPr>
        <w:t>Los plazos de los procesos de contratación consultados, se presentan diferentes plazos de ejecución según las necesidades de cada entidad. No obstante, se puede evidenciar que los plazos de ejecución para con</w:t>
      </w:r>
      <w:r w:rsidR="7FF7B611" w:rsidRPr="001A3FFD">
        <w:rPr>
          <w:rFonts w:ascii="Verdana" w:eastAsia="Verdana" w:hAnsi="Verdana" w:cs="Verdana"/>
          <w:sz w:val="20"/>
          <w:szCs w:val="20"/>
        </w:rPr>
        <w:t xml:space="preserve">tratos de apoyo e impulso </w:t>
      </w:r>
      <w:r w:rsidRPr="001A3FFD">
        <w:rPr>
          <w:rFonts w:ascii="Verdana" w:eastAsia="Verdana" w:hAnsi="Verdana" w:cs="Verdana"/>
          <w:sz w:val="20"/>
          <w:szCs w:val="20"/>
        </w:rPr>
        <w:t>oscilan entre</w:t>
      </w:r>
      <w:r w:rsidR="00A44AE9" w:rsidRPr="001A3FFD">
        <w:rPr>
          <w:rFonts w:ascii="Verdana" w:eastAsia="Verdana" w:hAnsi="Verdana" w:cs="Verdana"/>
          <w:sz w:val="20"/>
          <w:szCs w:val="20"/>
        </w:rPr>
        <w:t xml:space="preserve"> </w:t>
      </w:r>
      <w:r w:rsidR="00DA29E6">
        <w:rPr>
          <w:rFonts w:ascii="Verdana" w:eastAsia="Verdana" w:hAnsi="Verdana" w:cs="Verdana"/>
          <w:b/>
          <w:bCs/>
          <w:i/>
          <w:iCs/>
          <w:sz w:val="20"/>
          <w:szCs w:val="20"/>
        </w:rPr>
        <w:t xml:space="preserve">37 </w:t>
      </w:r>
      <w:r w:rsidRPr="001A3FFD">
        <w:rPr>
          <w:rFonts w:ascii="Verdana" w:eastAsia="Verdana" w:hAnsi="Verdana" w:cs="Verdana"/>
          <w:b/>
          <w:bCs/>
          <w:i/>
          <w:iCs/>
          <w:sz w:val="20"/>
          <w:szCs w:val="20"/>
        </w:rPr>
        <w:t xml:space="preserve">y </w:t>
      </w:r>
      <w:r w:rsidR="00DA29E6">
        <w:rPr>
          <w:rFonts w:ascii="Verdana" w:eastAsia="Verdana" w:hAnsi="Verdana" w:cs="Verdana"/>
          <w:b/>
          <w:bCs/>
          <w:i/>
          <w:iCs/>
          <w:sz w:val="20"/>
          <w:szCs w:val="20"/>
        </w:rPr>
        <w:t xml:space="preserve">379 </w:t>
      </w:r>
      <w:r w:rsidRPr="001A3FFD">
        <w:rPr>
          <w:rFonts w:ascii="Verdana" w:eastAsia="Verdana" w:hAnsi="Verdana" w:cs="Verdana"/>
          <w:b/>
          <w:bCs/>
          <w:i/>
          <w:iCs/>
          <w:sz w:val="20"/>
          <w:szCs w:val="20"/>
        </w:rPr>
        <w:t>días</w:t>
      </w:r>
      <w:r w:rsidRPr="001A3FFD">
        <w:rPr>
          <w:rFonts w:ascii="Verdana" w:eastAsia="Verdana" w:hAnsi="Verdana" w:cs="Verdana"/>
          <w:sz w:val="20"/>
          <w:szCs w:val="20"/>
        </w:rPr>
        <w:t xml:space="preserve"> lo cual depende de la modalidad de selección y las necesidades que motivó a cada entidad adelantar los procesos de contratación.  </w:t>
      </w:r>
    </w:p>
    <w:p w14:paraId="0157F334" w14:textId="77777777" w:rsidR="00D90755" w:rsidRPr="001A3FFD" w:rsidRDefault="00D90755" w:rsidP="00BB0A65">
      <w:pPr>
        <w:ind w:left="-567" w:right="-801"/>
        <w:jc w:val="both"/>
        <w:textAlignment w:val="baseline"/>
        <w:rPr>
          <w:rFonts w:ascii="Verdana" w:eastAsia="Verdana" w:hAnsi="Verdana" w:cs="Verdana"/>
          <w:sz w:val="20"/>
          <w:szCs w:val="20"/>
        </w:rPr>
      </w:pPr>
      <w:r w:rsidRPr="001A3FFD">
        <w:rPr>
          <w:rFonts w:ascii="Verdana" w:eastAsia="Verdana" w:hAnsi="Verdana" w:cs="Verdana"/>
          <w:sz w:val="20"/>
          <w:szCs w:val="20"/>
        </w:rPr>
        <w:t>  </w:t>
      </w:r>
    </w:p>
    <w:p w14:paraId="48253CC2" w14:textId="3DAD40FD" w:rsidR="00D90755" w:rsidRPr="001A3FFD" w:rsidRDefault="00D90755" w:rsidP="00BB0A65">
      <w:pPr>
        <w:pStyle w:val="Prrafodelista"/>
        <w:numPr>
          <w:ilvl w:val="1"/>
          <w:numId w:val="4"/>
        </w:numPr>
        <w:spacing w:after="240"/>
        <w:ind w:left="-567" w:right="-801" w:firstLine="0"/>
        <w:jc w:val="both"/>
        <w:rPr>
          <w:rFonts w:ascii="Verdana" w:eastAsia="Verdana" w:hAnsi="Verdana" w:cs="Verdana"/>
          <w:b/>
          <w:bCs/>
          <w:sz w:val="20"/>
          <w:szCs w:val="20"/>
        </w:rPr>
      </w:pPr>
      <w:r w:rsidRPr="001A3FFD">
        <w:rPr>
          <w:rFonts w:ascii="Verdana" w:eastAsia="Verdana" w:hAnsi="Verdana" w:cs="Verdana"/>
          <w:b/>
          <w:bCs/>
          <w:sz w:val="20"/>
          <w:szCs w:val="20"/>
        </w:rPr>
        <w:t>Garantías exigida</w:t>
      </w:r>
      <w:r w:rsidR="00BB0A65">
        <w:rPr>
          <w:rFonts w:ascii="Verdana" w:eastAsia="Verdana" w:hAnsi="Verdana" w:cs="Verdana"/>
          <w:b/>
          <w:bCs/>
          <w:sz w:val="20"/>
          <w:szCs w:val="20"/>
        </w:rPr>
        <w:t>s</w:t>
      </w:r>
    </w:p>
    <w:p w14:paraId="1D19DE1B" w14:textId="575ECA2E" w:rsidR="00A44AE9" w:rsidRPr="001A3FFD" w:rsidRDefault="00D90755" w:rsidP="009D30B4">
      <w:pPr>
        <w:ind w:left="-567" w:right="-801"/>
        <w:jc w:val="both"/>
        <w:textAlignment w:val="baseline"/>
        <w:rPr>
          <w:rFonts w:ascii="Verdana" w:eastAsia="Verdana" w:hAnsi="Verdana" w:cs="Verdana"/>
          <w:sz w:val="20"/>
          <w:szCs w:val="20"/>
        </w:rPr>
      </w:pPr>
      <w:r w:rsidRPr="001A3FFD">
        <w:rPr>
          <w:rFonts w:ascii="Verdana" w:eastAsia="Verdana" w:hAnsi="Verdana" w:cs="Verdana"/>
          <w:sz w:val="20"/>
          <w:szCs w:val="20"/>
        </w:rPr>
        <w:t>Se relacionan en el análisis de la información las tablas de los contratos suscritos por el Ministerio y otras entidades para (bienes y/o servicios requeridos). </w:t>
      </w:r>
      <w:r w:rsidR="00A44AE9" w:rsidRPr="001A3FFD">
        <w:rPr>
          <w:rFonts w:ascii="Verdana" w:eastAsia="Verdana" w:hAnsi="Verdana" w:cs="Verdana"/>
          <w:sz w:val="20"/>
          <w:szCs w:val="20"/>
        </w:rPr>
        <w:t xml:space="preserve"> </w:t>
      </w:r>
      <w:r w:rsidR="000A7405" w:rsidRPr="001A3FFD">
        <w:rPr>
          <w:rFonts w:ascii="Verdana" w:eastAsia="Verdana" w:hAnsi="Verdana" w:cs="Verdana"/>
          <w:sz w:val="20"/>
          <w:szCs w:val="20"/>
        </w:rPr>
        <w:t xml:space="preserve">Realizado el análisis de los </w:t>
      </w:r>
      <w:r w:rsidR="000F3E9B" w:rsidRPr="001A3FFD">
        <w:rPr>
          <w:rFonts w:ascii="Verdana" w:eastAsia="Verdana" w:hAnsi="Verdana" w:cs="Verdana"/>
          <w:sz w:val="20"/>
          <w:szCs w:val="20"/>
        </w:rPr>
        <w:t>realizados</w:t>
      </w:r>
      <w:r w:rsidR="000A7405" w:rsidRPr="001A3FFD">
        <w:rPr>
          <w:rFonts w:ascii="Verdana" w:eastAsia="Verdana" w:hAnsi="Verdana" w:cs="Verdana"/>
          <w:sz w:val="20"/>
          <w:szCs w:val="20"/>
        </w:rPr>
        <w:t xml:space="preserve"> se ha </w:t>
      </w:r>
      <w:r w:rsidR="00A44AE9" w:rsidRPr="001A3FFD">
        <w:rPr>
          <w:rFonts w:ascii="Verdana" w:eastAsia="Verdana" w:hAnsi="Verdana" w:cs="Verdana"/>
          <w:sz w:val="20"/>
          <w:szCs w:val="20"/>
        </w:rPr>
        <w:t>evidenciado lo siguiente:</w:t>
      </w:r>
    </w:p>
    <w:p w14:paraId="6A7F1F93" w14:textId="29EB3494" w:rsidR="008A3E55" w:rsidRPr="001A3FFD" w:rsidRDefault="008A3E55" w:rsidP="009D30B4">
      <w:pPr>
        <w:ind w:left="-567" w:right="-801"/>
        <w:jc w:val="both"/>
        <w:textAlignment w:val="baseline"/>
        <w:rPr>
          <w:rFonts w:ascii="Verdana" w:eastAsia="Verdana" w:hAnsi="Verdana" w:cs="Verdana"/>
          <w:sz w:val="20"/>
          <w:szCs w:val="20"/>
        </w:rPr>
      </w:pPr>
    </w:p>
    <w:p w14:paraId="3F4CD401" w14:textId="6F653350" w:rsidR="008A3E55" w:rsidRPr="001A3FFD" w:rsidRDefault="008A3E55" w:rsidP="00806B81">
      <w:pPr>
        <w:ind w:left="-567" w:right="-801"/>
        <w:jc w:val="both"/>
        <w:textAlignment w:val="baseline"/>
        <w:rPr>
          <w:rFonts w:ascii="Verdana" w:eastAsia="Verdana" w:hAnsi="Verdana" w:cs="Verdana"/>
          <w:sz w:val="20"/>
          <w:szCs w:val="20"/>
        </w:rPr>
      </w:pPr>
      <w:r w:rsidRPr="001A3FFD">
        <w:rPr>
          <w:rFonts w:ascii="Verdana" w:eastAsia="Verdana" w:hAnsi="Verdana" w:cs="Verdana"/>
          <w:sz w:val="20"/>
          <w:szCs w:val="20"/>
        </w:rPr>
        <w:t xml:space="preserve">Para los convenios </w:t>
      </w:r>
      <w:r w:rsidR="00DA29E6">
        <w:rPr>
          <w:rFonts w:ascii="Verdana" w:eastAsia="Verdana" w:hAnsi="Verdana" w:cs="Verdana"/>
          <w:b/>
          <w:bCs/>
          <w:sz w:val="20"/>
          <w:szCs w:val="20"/>
        </w:rPr>
        <w:t>4453</w:t>
      </w:r>
      <w:r w:rsidRPr="001A3FFD">
        <w:rPr>
          <w:rFonts w:ascii="Verdana" w:eastAsia="Verdana" w:hAnsi="Verdana" w:cs="Verdana"/>
          <w:b/>
          <w:bCs/>
          <w:sz w:val="20"/>
          <w:szCs w:val="20"/>
        </w:rPr>
        <w:t>/23</w:t>
      </w:r>
      <w:r w:rsidR="00DA29E6">
        <w:rPr>
          <w:rFonts w:ascii="Verdana" w:eastAsia="Verdana" w:hAnsi="Verdana" w:cs="Verdana"/>
          <w:b/>
          <w:bCs/>
          <w:sz w:val="20"/>
          <w:szCs w:val="20"/>
        </w:rPr>
        <w:t xml:space="preserve"> y 3928</w:t>
      </w:r>
      <w:r w:rsidRPr="001A3FFD">
        <w:rPr>
          <w:rFonts w:ascii="Verdana" w:eastAsia="Verdana" w:hAnsi="Verdana" w:cs="Verdana"/>
          <w:b/>
          <w:bCs/>
          <w:sz w:val="20"/>
          <w:szCs w:val="20"/>
        </w:rPr>
        <w:t>/2</w:t>
      </w:r>
      <w:r w:rsidR="00DA29E6">
        <w:rPr>
          <w:rFonts w:ascii="Verdana" w:eastAsia="Verdana" w:hAnsi="Verdana" w:cs="Verdana"/>
          <w:b/>
          <w:bCs/>
          <w:sz w:val="20"/>
          <w:szCs w:val="20"/>
        </w:rPr>
        <w:t>4</w:t>
      </w:r>
      <w:r w:rsidR="00806B81" w:rsidRPr="001A3FFD">
        <w:rPr>
          <w:rFonts w:ascii="Verdana" w:eastAsia="Verdana" w:hAnsi="Verdana" w:cs="Verdana"/>
          <w:b/>
          <w:bCs/>
          <w:sz w:val="20"/>
          <w:szCs w:val="20"/>
        </w:rPr>
        <w:t xml:space="preserve"> </w:t>
      </w:r>
      <w:r w:rsidR="00806B81" w:rsidRPr="001A3FFD">
        <w:rPr>
          <w:rFonts w:ascii="Verdana" w:eastAsia="Verdana" w:hAnsi="Verdana" w:cs="Verdana"/>
          <w:sz w:val="20"/>
          <w:szCs w:val="20"/>
        </w:rPr>
        <w:t>se estableció que</w:t>
      </w:r>
      <w:r w:rsidR="006A6A36">
        <w:rPr>
          <w:rFonts w:ascii="Verdana" w:eastAsia="Verdana" w:hAnsi="Verdana" w:cs="Verdana"/>
          <w:sz w:val="20"/>
          <w:szCs w:val="20"/>
        </w:rPr>
        <w:t xml:space="preserve"> el asociado garantizaría </w:t>
      </w:r>
      <w:r w:rsidRPr="001A3FFD">
        <w:rPr>
          <w:rFonts w:ascii="Verdana" w:eastAsia="Verdana" w:hAnsi="Verdana" w:cs="Verdana"/>
          <w:sz w:val="20"/>
          <w:szCs w:val="20"/>
        </w:rPr>
        <w:t>el</w:t>
      </w:r>
      <w:r w:rsidR="00806B81" w:rsidRPr="001A3FFD">
        <w:rPr>
          <w:rFonts w:ascii="Verdana" w:eastAsia="Verdana" w:hAnsi="Verdana" w:cs="Verdana"/>
          <w:sz w:val="20"/>
          <w:szCs w:val="20"/>
        </w:rPr>
        <w:t xml:space="preserve"> </w:t>
      </w:r>
      <w:r w:rsidRPr="001A3FFD">
        <w:rPr>
          <w:rFonts w:ascii="Verdana" w:eastAsia="Verdana" w:hAnsi="Verdana" w:cs="Verdana"/>
          <w:sz w:val="20"/>
          <w:szCs w:val="20"/>
        </w:rPr>
        <w:t>cumplimiento de las obligaciones que adquiere por este</w:t>
      </w:r>
      <w:r w:rsidR="00806B81" w:rsidRPr="001A3FFD">
        <w:rPr>
          <w:rFonts w:ascii="Verdana" w:eastAsia="Verdana" w:hAnsi="Verdana" w:cs="Verdana"/>
          <w:sz w:val="20"/>
          <w:szCs w:val="20"/>
        </w:rPr>
        <w:t xml:space="preserve"> </w:t>
      </w:r>
      <w:r w:rsidRPr="001A3FFD">
        <w:rPr>
          <w:rFonts w:ascii="Verdana" w:eastAsia="Verdana" w:hAnsi="Verdana" w:cs="Verdana"/>
          <w:sz w:val="20"/>
          <w:szCs w:val="20"/>
        </w:rPr>
        <w:t>convenio, mediante la constitución de una garantía única</w:t>
      </w:r>
      <w:r w:rsidR="00806B81" w:rsidRPr="001A3FFD">
        <w:rPr>
          <w:rFonts w:ascii="Verdana" w:eastAsia="Verdana" w:hAnsi="Verdana" w:cs="Verdana"/>
          <w:sz w:val="20"/>
          <w:szCs w:val="20"/>
        </w:rPr>
        <w:t xml:space="preserve"> </w:t>
      </w:r>
      <w:r w:rsidRPr="001A3FFD">
        <w:rPr>
          <w:rFonts w:ascii="Verdana" w:eastAsia="Verdana" w:hAnsi="Verdana" w:cs="Verdana"/>
          <w:sz w:val="20"/>
          <w:szCs w:val="20"/>
        </w:rPr>
        <w:t>a favor del MINISTERIO, con una compañía legalmente</w:t>
      </w:r>
      <w:r w:rsidR="00806B81" w:rsidRPr="001A3FFD">
        <w:rPr>
          <w:rFonts w:ascii="Verdana" w:eastAsia="Verdana" w:hAnsi="Verdana" w:cs="Verdana"/>
          <w:sz w:val="20"/>
          <w:szCs w:val="20"/>
        </w:rPr>
        <w:t xml:space="preserve"> </w:t>
      </w:r>
      <w:r w:rsidRPr="001A3FFD">
        <w:rPr>
          <w:rFonts w:ascii="Verdana" w:eastAsia="Verdana" w:hAnsi="Verdana" w:cs="Verdana"/>
          <w:sz w:val="20"/>
          <w:szCs w:val="20"/>
        </w:rPr>
        <w:t>establecida en Colombia, cuya póliza matriz se encuentre</w:t>
      </w:r>
      <w:r w:rsidR="00806B81" w:rsidRPr="001A3FFD">
        <w:rPr>
          <w:rFonts w:ascii="Verdana" w:eastAsia="Verdana" w:hAnsi="Verdana" w:cs="Verdana"/>
          <w:sz w:val="20"/>
          <w:szCs w:val="20"/>
        </w:rPr>
        <w:t xml:space="preserve"> d</w:t>
      </w:r>
      <w:r w:rsidRPr="001A3FFD">
        <w:rPr>
          <w:rFonts w:ascii="Verdana" w:eastAsia="Verdana" w:hAnsi="Verdana" w:cs="Verdana"/>
          <w:sz w:val="20"/>
          <w:szCs w:val="20"/>
        </w:rPr>
        <w:t>ebidamente aprobada por la Superintendencia Financiera</w:t>
      </w:r>
      <w:r w:rsidR="00806B81" w:rsidRPr="001A3FFD">
        <w:rPr>
          <w:rFonts w:ascii="Verdana" w:eastAsia="Verdana" w:hAnsi="Verdana" w:cs="Verdana"/>
          <w:sz w:val="20"/>
          <w:szCs w:val="20"/>
        </w:rPr>
        <w:t xml:space="preserve"> </w:t>
      </w:r>
      <w:r w:rsidRPr="001A3FFD">
        <w:rPr>
          <w:rFonts w:ascii="Verdana" w:eastAsia="Verdana" w:hAnsi="Verdana" w:cs="Verdana"/>
          <w:sz w:val="20"/>
          <w:szCs w:val="20"/>
        </w:rPr>
        <w:t>o a través de un patrimonio autónomo o garantía bancaria,</w:t>
      </w:r>
      <w:r w:rsidR="00806B81" w:rsidRPr="001A3FFD">
        <w:rPr>
          <w:rFonts w:ascii="Verdana" w:eastAsia="Verdana" w:hAnsi="Verdana" w:cs="Verdana"/>
          <w:sz w:val="20"/>
          <w:szCs w:val="20"/>
        </w:rPr>
        <w:t xml:space="preserve"> </w:t>
      </w:r>
      <w:r w:rsidRPr="001A3FFD">
        <w:rPr>
          <w:rFonts w:ascii="Verdana" w:eastAsia="Verdana" w:hAnsi="Verdana" w:cs="Verdana"/>
          <w:sz w:val="20"/>
          <w:szCs w:val="20"/>
        </w:rPr>
        <w:t>de conformidad con lo consagrado en el artículo 7 de la Ley</w:t>
      </w:r>
      <w:r w:rsidR="00806B81" w:rsidRPr="001A3FFD">
        <w:rPr>
          <w:rFonts w:ascii="Verdana" w:eastAsia="Verdana" w:hAnsi="Verdana" w:cs="Verdana"/>
          <w:sz w:val="20"/>
          <w:szCs w:val="20"/>
        </w:rPr>
        <w:t xml:space="preserve"> </w:t>
      </w:r>
      <w:r w:rsidRPr="001A3FFD">
        <w:rPr>
          <w:rFonts w:ascii="Verdana" w:eastAsia="Verdana" w:hAnsi="Verdana" w:cs="Verdana"/>
          <w:sz w:val="20"/>
          <w:szCs w:val="20"/>
        </w:rPr>
        <w:t>1150 de 2007 y su Decreto Reglamentario 1082 de 2015,</w:t>
      </w:r>
      <w:r w:rsidR="00806B81" w:rsidRPr="001A3FFD">
        <w:rPr>
          <w:rFonts w:ascii="Verdana" w:eastAsia="Verdana" w:hAnsi="Verdana" w:cs="Verdana"/>
          <w:sz w:val="20"/>
          <w:szCs w:val="20"/>
        </w:rPr>
        <w:t xml:space="preserve"> </w:t>
      </w:r>
      <w:r w:rsidRPr="001A3FFD">
        <w:rPr>
          <w:rFonts w:ascii="Verdana" w:eastAsia="Verdana" w:hAnsi="Verdana" w:cs="Verdana"/>
          <w:sz w:val="20"/>
          <w:szCs w:val="20"/>
        </w:rPr>
        <w:t>debiendo incluir como riesgos amparados los siguientes</w:t>
      </w:r>
    </w:p>
    <w:p w14:paraId="00189A91" w14:textId="77777777" w:rsidR="00A44AE9" w:rsidRPr="001A3FFD" w:rsidRDefault="00A44AE9" w:rsidP="00A44AE9">
      <w:pPr>
        <w:ind w:left="-567" w:right="-801"/>
        <w:jc w:val="both"/>
        <w:textAlignment w:val="baseline"/>
        <w:rPr>
          <w:rFonts w:ascii="Verdana" w:eastAsia="Verdana" w:hAnsi="Verdana" w:cs="Verdana"/>
          <w:sz w:val="20"/>
          <w:szCs w:val="20"/>
        </w:rPr>
      </w:pPr>
    </w:p>
    <w:p w14:paraId="4C2CF469" w14:textId="60C5DCF0" w:rsidR="00316545" w:rsidRPr="001A3FFD" w:rsidRDefault="00316545" w:rsidP="00316545">
      <w:pPr>
        <w:pStyle w:val="Prrafodelista"/>
        <w:numPr>
          <w:ilvl w:val="0"/>
          <w:numId w:val="6"/>
        </w:numPr>
        <w:ind w:right="-801"/>
        <w:jc w:val="both"/>
        <w:textAlignment w:val="baseline"/>
        <w:rPr>
          <w:rFonts w:ascii="Verdana" w:eastAsia="Verdana" w:hAnsi="Verdana" w:cs="Verdana"/>
          <w:sz w:val="20"/>
          <w:szCs w:val="20"/>
        </w:rPr>
      </w:pPr>
      <w:r w:rsidRPr="00BB0A65">
        <w:rPr>
          <w:rFonts w:ascii="Verdana" w:eastAsia="Verdana" w:hAnsi="Verdana" w:cs="Verdana"/>
          <w:b/>
          <w:bCs/>
          <w:sz w:val="20"/>
          <w:szCs w:val="20"/>
        </w:rPr>
        <w:t>Devolución del pago anticipado</w:t>
      </w:r>
      <w:r w:rsidRPr="001A3FFD">
        <w:rPr>
          <w:rFonts w:ascii="Verdana" w:eastAsia="Verdana" w:hAnsi="Verdana" w:cs="Verdana"/>
          <w:b/>
          <w:bCs/>
          <w:sz w:val="20"/>
          <w:szCs w:val="20"/>
        </w:rPr>
        <w:t>:</w:t>
      </w:r>
      <w:r w:rsidRPr="001A3FFD">
        <w:rPr>
          <w:rFonts w:ascii="Verdana" w:eastAsia="Verdana" w:hAnsi="Verdana" w:cs="Verdana"/>
          <w:sz w:val="20"/>
          <w:szCs w:val="20"/>
        </w:rPr>
        <w:t xml:space="preserve"> Cubrirá al MINISTERIO, por la indebida ejecución de los recursos desembolsados en con ocasión del primer desembolso, en consecuencia, la suficiencia de este amparo deberá ser equivalente al ciento por ciento (100%) del monto girado como primer desembolso, y con una vigencia igual a la duración del convenio y seis (6) meses más.</w:t>
      </w:r>
    </w:p>
    <w:p w14:paraId="33079CDD" w14:textId="50E49B7D" w:rsidR="00486C96" w:rsidRPr="001A3FFD" w:rsidRDefault="00486C96" w:rsidP="00316545">
      <w:pPr>
        <w:pStyle w:val="Prrafodelista"/>
        <w:numPr>
          <w:ilvl w:val="0"/>
          <w:numId w:val="6"/>
        </w:numPr>
        <w:ind w:right="-801"/>
        <w:jc w:val="both"/>
        <w:textAlignment w:val="baseline"/>
        <w:rPr>
          <w:rFonts w:ascii="Verdana" w:eastAsia="Verdana" w:hAnsi="Verdana" w:cs="Verdana"/>
          <w:sz w:val="20"/>
          <w:szCs w:val="20"/>
        </w:rPr>
      </w:pPr>
      <w:r w:rsidRPr="00BB0A65">
        <w:rPr>
          <w:rFonts w:ascii="Verdana" w:eastAsia="Verdana" w:hAnsi="Verdana" w:cs="Verdana"/>
          <w:b/>
          <w:bCs/>
          <w:sz w:val="20"/>
          <w:szCs w:val="20"/>
        </w:rPr>
        <w:t>Cumplimiento del con</w:t>
      </w:r>
      <w:r w:rsidR="4279732D" w:rsidRPr="00BB0A65">
        <w:rPr>
          <w:rFonts w:ascii="Verdana" w:eastAsia="Verdana" w:hAnsi="Verdana" w:cs="Verdana"/>
          <w:b/>
          <w:bCs/>
          <w:sz w:val="20"/>
          <w:szCs w:val="20"/>
        </w:rPr>
        <w:t>trat</w:t>
      </w:r>
      <w:r w:rsidRPr="00BB0A65">
        <w:rPr>
          <w:rFonts w:ascii="Verdana" w:eastAsia="Verdana" w:hAnsi="Verdana" w:cs="Verdana"/>
          <w:b/>
          <w:bCs/>
          <w:sz w:val="20"/>
          <w:szCs w:val="20"/>
        </w:rPr>
        <w:t>o:</w:t>
      </w:r>
      <w:r w:rsidRPr="001A3FFD">
        <w:rPr>
          <w:rFonts w:ascii="Verdana" w:eastAsia="Verdana" w:hAnsi="Verdana" w:cs="Verdana"/>
          <w:sz w:val="20"/>
          <w:szCs w:val="20"/>
        </w:rPr>
        <w:t xml:space="preserve"> </w:t>
      </w:r>
      <w:r w:rsidR="00316545" w:rsidRPr="001A3FFD">
        <w:rPr>
          <w:rFonts w:ascii="Verdana" w:eastAsia="Verdana" w:hAnsi="Verdana" w:cs="Verdana"/>
          <w:sz w:val="20"/>
          <w:szCs w:val="20"/>
        </w:rPr>
        <w:t xml:space="preserve">Para garantizar el cumplimiento general del mismo, el pago de multas, de la pena penal pecuniaria y demás sanciones, en cuantía equivalente al diez por ciento (10%) del aporte del MINISTERIO y con una vigencia igual a la duración del convenio y 4 meses más. </w:t>
      </w:r>
    </w:p>
    <w:p w14:paraId="7ECD0532" w14:textId="77777777" w:rsidR="00486C96" w:rsidRPr="001A3FFD" w:rsidRDefault="00486C96" w:rsidP="00DD2282">
      <w:pPr>
        <w:pStyle w:val="Prrafodelista"/>
        <w:numPr>
          <w:ilvl w:val="0"/>
          <w:numId w:val="6"/>
        </w:numPr>
        <w:ind w:right="-801"/>
        <w:jc w:val="both"/>
        <w:textAlignment w:val="baseline"/>
        <w:rPr>
          <w:rFonts w:ascii="Verdana" w:eastAsia="Verdana" w:hAnsi="Verdana" w:cs="Verdana"/>
          <w:sz w:val="20"/>
          <w:szCs w:val="20"/>
        </w:rPr>
      </w:pPr>
      <w:r w:rsidRPr="00BB0A65">
        <w:rPr>
          <w:rFonts w:ascii="Verdana" w:eastAsia="Verdana" w:hAnsi="Verdana" w:cs="Verdana"/>
          <w:b/>
          <w:bCs/>
          <w:sz w:val="20"/>
          <w:szCs w:val="20"/>
        </w:rPr>
        <w:t xml:space="preserve">Salarios, prestaciones sociales e indemnizaciones: </w:t>
      </w:r>
      <w:r w:rsidRPr="001A3FFD">
        <w:rPr>
          <w:rFonts w:ascii="Verdana" w:eastAsia="Verdana" w:hAnsi="Verdana" w:cs="Verdana"/>
          <w:sz w:val="20"/>
          <w:szCs w:val="20"/>
        </w:rPr>
        <w:t>Cubrirá al MINISTERIO en cuantía equivalente al cinco por ciento (5%) del aporte del Ministerio y con una vigencia igual a la duración de este y tres (3) años más.</w:t>
      </w:r>
    </w:p>
    <w:p w14:paraId="0405D3BD" w14:textId="331AB28A" w:rsidR="00486C96" w:rsidRPr="001A3FFD" w:rsidRDefault="00486C96" w:rsidP="00DD2282">
      <w:pPr>
        <w:pStyle w:val="Prrafodelista"/>
        <w:numPr>
          <w:ilvl w:val="0"/>
          <w:numId w:val="6"/>
        </w:numPr>
        <w:ind w:right="-801"/>
        <w:jc w:val="both"/>
        <w:textAlignment w:val="baseline"/>
        <w:rPr>
          <w:rFonts w:ascii="Verdana" w:eastAsia="Verdana" w:hAnsi="Verdana" w:cs="Verdana"/>
          <w:sz w:val="20"/>
          <w:szCs w:val="20"/>
        </w:rPr>
      </w:pPr>
      <w:r w:rsidRPr="00BB0A65">
        <w:rPr>
          <w:rFonts w:ascii="Verdana" w:eastAsia="Verdana" w:hAnsi="Verdana" w:cs="Verdana"/>
          <w:b/>
          <w:bCs/>
          <w:sz w:val="20"/>
          <w:szCs w:val="20"/>
        </w:rPr>
        <w:t>Responsabilidad civil extracontractual:</w:t>
      </w:r>
      <w:r w:rsidRPr="001A3FFD">
        <w:rPr>
          <w:rFonts w:ascii="Verdana" w:eastAsia="Verdana" w:hAnsi="Verdana" w:cs="Verdana"/>
          <w:sz w:val="20"/>
          <w:szCs w:val="20"/>
        </w:rPr>
        <w:t xml:space="preserve"> Cubrirá al MINISTERIO para garantizar la responsabilidad civil frente a terceros, derivada de la ejecución del con</w:t>
      </w:r>
      <w:r w:rsidR="53D825B4" w:rsidRPr="001A3FFD">
        <w:rPr>
          <w:rFonts w:ascii="Verdana" w:eastAsia="Verdana" w:hAnsi="Verdana" w:cs="Verdana"/>
          <w:sz w:val="20"/>
          <w:szCs w:val="20"/>
        </w:rPr>
        <w:t>trat</w:t>
      </w:r>
      <w:r w:rsidRPr="001A3FFD">
        <w:rPr>
          <w:rFonts w:ascii="Verdana" w:eastAsia="Verdana" w:hAnsi="Verdana" w:cs="Verdana"/>
          <w:sz w:val="20"/>
          <w:szCs w:val="20"/>
        </w:rPr>
        <w:t>o, en cuantía equivalente a (200 SMMLV), que cubra los siguientes amparos: predios y operaciones, gastos médicos inmediatos, responsabilidad patronal y de contratistas, y con una vigencia igual a la del plazo del con</w:t>
      </w:r>
      <w:r w:rsidR="4370D1C3" w:rsidRPr="001A3FFD">
        <w:rPr>
          <w:rFonts w:ascii="Verdana" w:eastAsia="Verdana" w:hAnsi="Verdana" w:cs="Verdana"/>
          <w:sz w:val="20"/>
          <w:szCs w:val="20"/>
        </w:rPr>
        <w:t>trat</w:t>
      </w:r>
      <w:r w:rsidRPr="001A3FFD">
        <w:rPr>
          <w:rFonts w:ascii="Verdana" w:eastAsia="Verdana" w:hAnsi="Verdana" w:cs="Verdana"/>
          <w:sz w:val="20"/>
          <w:szCs w:val="20"/>
        </w:rPr>
        <w:t xml:space="preserve">o. Esta póliza deberá cumplir al menos con los siguientes requisitos, según el artículo 2.2.1.2.3.1.8., del Decreto 1082 de 2015, a) Amparo Básico Predios y Operaciones, b) Responsabilidad Civil Patronal, c) Contratistas y Subcontratistas, d) Responsabilidad Civil Cruzada, e) Gasto Médicos Inmediatos y f) Daños a cables, tuberías e instalaciones subterráneas, MODALIDAD E INTERVINIENTES: MODALIDAD DE OCURRENCIA, ASEGURADOS: MINISTERIO DE </w:t>
      </w:r>
      <w:r w:rsidRPr="001A3FFD">
        <w:rPr>
          <w:rFonts w:ascii="Verdana" w:eastAsia="Verdana" w:hAnsi="Verdana" w:cs="Verdana"/>
          <w:sz w:val="20"/>
          <w:szCs w:val="20"/>
        </w:rPr>
        <w:lastRenderedPageBreak/>
        <w:t xml:space="preserve">LAS CULTURAS, LAS ARTES Y CONTRATISTA. Mecanismos de participación de la perdida por parte de la entidad asegurada: Deducible con tope máximo del diez por ciento (10%) del valor de cada perdida sin que en ningún caso puedan ser superiores a dos mil salarios mínimos legales mensuales vigentes (2.000 </w:t>
      </w:r>
      <w:proofErr w:type="spellStart"/>
      <w:r w:rsidRPr="001A3FFD">
        <w:rPr>
          <w:rFonts w:ascii="Verdana" w:eastAsia="Verdana" w:hAnsi="Verdana" w:cs="Verdana"/>
          <w:sz w:val="20"/>
          <w:szCs w:val="20"/>
        </w:rPr>
        <w:t>smmlv</w:t>
      </w:r>
      <w:proofErr w:type="spellEnd"/>
      <w:r w:rsidRPr="001A3FFD">
        <w:rPr>
          <w:rFonts w:ascii="Verdana" w:eastAsia="Verdana" w:hAnsi="Verdana" w:cs="Verdana"/>
          <w:sz w:val="20"/>
          <w:szCs w:val="20"/>
        </w:rPr>
        <w:t>). Las franquicias, coaseguros obligatorios y demás formas de estipulación que conlleven asunción de parte de la perdida por la entidad aseguradora no serán admisibles.</w:t>
      </w:r>
    </w:p>
    <w:p w14:paraId="244A15D9" w14:textId="77777777" w:rsidR="00A44AE9" w:rsidRPr="001A3FFD" w:rsidRDefault="00A44AE9" w:rsidP="00486C96">
      <w:pPr>
        <w:ind w:left="-567" w:right="-801"/>
        <w:jc w:val="both"/>
        <w:textAlignment w:val="baseline"/>
        <w:rPr>
          <w:rFonts w:ascii="Verdana" w:eastAsia="Verdana" w:hAnsi="Verdana" w:cs="Verdana"/>
          <w:sz w:val="20"/>
          <w:szCs w:val="20"/>
        </w:rPr>
      </w:pPr>
    </w:p>
    <w:p w14:paraId="3DADDEF5" w14:textId="31B7AB62" w:rsidR="00EE326E" w:rsidRPr="001A3FFD" w:rsidRDefault="00486C96" w:rsidP="007B4DE2">
      <w:pPr>
        <w:ind w:left="-567" w:right="-801"/>
        <w:jc w:val="both"/>
        <w:rPr>
          <w:rFonts w:ascii="Verdana" w:eastAsia="Verdana" w:hAnsi="Verdana" w:cs="Verdana"/>
          <w:sz w:val="20"/>
          <w:szCs w:val="20"/>
        </w:rPr>
      </w:pPr>
      <w:r w:rsidRPr="001A3FFD">
        <w:rPr>
          <w:rFonts w:ascii="Verdana" w:eastAsia="Verdana" w:hAnsi="Verdana" w:cs="Verdana"/>
          <w:sz w:val="20"/>
          <w:szCs w:val="20"/>
        </w:rPr>
        <w:t xml:space="preserve">En este sentido, </w:t>
      </w:r>
      <w:r w:rsidR="006A6A36">
        <w:rPr>
          <w:rFonts w:ascii="Verdana" w:eastAsia="Verdana" w:hAnsi="Verdana" w:cs="Verdana"/>
          <w:sz w:val="20"/>
          <w:szCs w:val="20"/>
        </w:rPr>
        <w:t>se solicitarán las siguientes garantías</w:t>
      </w:r>
      <w:r w:rsidR="00EE326E" w:rsidRPr="001A3FFD">
        <w:rPr>
          <w:rFonts w:ascii="Verdana" w:eastAsia="Verdana" w:hAnsi="Verdana" w:cs="Verdana"/>
          <w:sz w:val="20"/>
          <w:szCs w:val="20"/>
        </w:rPr>
        <w:t>:</w:t>
      </w:r>
    </w:p>
    <w:p w14:paraId="524F2622" w14:textId="3F3B3459" w:rsidR="00EE326E" w:rsidRPr="001A3FFD" w:rsidRDefault="00EE326E" w:rsidP="007B4DE2">
      <w:pPr>
        <w:ind w:left="-567" w:right="-801"/>
        <w:jc w:val="both"/>
        <w:rPr>
          <w:rFonts w:ascii="Verdana" w:eastAsia="Verdana" w:hAnsi="Verdana" w:cs="Verdana"/>
          <w:sz w:val="20"/>
          <w:szCs w:val="20"/>
        </w:rPr>
      </w:pPr>
    </w:p>
    <w:p w14:paraId="45A59D11" w14:textId="75851C85" w:rsidR="00486C96" w:rsidRPr="001A3FFD" w:rsidRDefault="00486C96" w:rsidP="00DD2282">
      <w:pPr>
        <w:pStyle w:val="Prrafodelista"/>
        <w:numPr>
          <w:ilvl w:val="0"/>
          <w:numId w:val="7"/>
        </w:numPr>
        <w:ind w:right="-801"/>
        <w:jc w:val="both"/>
        <w:textAlignment w:val="baseline"/>
        <w:rPr>
          <w:rFonts w:ascii="Verdana" w:eastAsia="Verdana" w:hAnsi="Verdana" w:cs="Verdana"/>
          <w:sz w:val="20"/>
          <w:szCs w:val="20"/>
        </w:rPr>
      </w:pPr>
      <w:r w:rsidRPr="001A3FFD">
        <w:rPr>
          <w:rFonts w:ascii="Verdana" w:eastAsia="Verdana" w:hAnsi="Verdana" w:cs="Verdana"/>
          <w:b/>
          <w:bCs/>
          <w:sz w:val="20"/>
          <w:szCs w:val="20"/>
        </w:rPr>
        <w:t>Cumplimiento del con</w:t>
      </w:r>
      <w:r w:rsidR="6949115A" w:rsidRPr="001A3FFD">
        <w:rPr>
          <w:rFonts w:ascii="Verdana" w:eastAsia="Verdana" w:hAnsi="Verdana" w:cs="Verdana"/>
          <w:b/>
          <w:bCs/>
          <w:sz w:val="20"/>
          <w:szCs w:val="20"/>
        </w:rPr>
        <w:t>trat</w:t>
      </w:r>
      <w:r w:rsidRPr="001A3FFD">
        <w:rPr>
          <w:rFonts w:ascii="Verdana" w:eastAsia="Verdana" w:hAnsi="Verdana" w:cs="Verdana"/>
          <w:b/>
          <w:bCs/>
          <w:sz w:val="20"/>
          <w:szCs w:val="20"/>
        </w:rPr>
        <w:t xml:space="preserve">o: </w:t>
      </w:r>
      <w:r w:rsidR="00316545" w:rsidRPr="001A3FFD">
        <w:rPr>
          <w:rFonts w:ascii="Verdana" w:eastAsia="Verdana" w:hAnsi="Verdana" w:cs="Verdana"/>
          <w:sz w:val="20"/>
          <w:szCs w:val="20"/>
        </w:rPr>
        <w:t xml:space="preserve">Cumplimiento del contrato: Cubrirá al MINISTERIO para garantizar el cumplimiento general del mismo, el pago de multas, de la pena pecuniaria y demás sanciones, en cuantía equivalente al diez por ciento (10%) del valor del contrato y con una vigencia igual a la duración del contrato, seis (6) meses más y hasta la liquidación del contrato. </w:t>
      </w:r>
    </w:p>
    <w:p w14:paraId="78837092" w14:textId="77777777" w:rsidR="00316545" w:rsidRPr="001A3FFD" w:rsidRDefault="00486C96" w:rsidP="00657C8A">
      <w:pPr>
        <w:pStyle w:val="Prrafodelista"/>
        <w:numPr>
          <w:ilvl w:val="0"/>
          <w:numId w:val="7"/>
        </w:numPr>
        <w:ind w:right="-801"/>
        <w:jc w:val="both"/>
        <w:textAlignment w:val="baseline"/>
        <w:rPr>
          <w:rFonts w:ascii="Verdana" w:eastAsia="Verdana" w:hAnsi="Verdana" w:cs="Verdana"/>
          <w:sz w:val="20"/>
          <w:szCs w:val="20"/>
        </w:rPr>
      </w:pPr>
      <w:r w:rsidRPr="001A3FFD">
        <w:rPr>
          <w:rFonts w:ascii="Verdana" w:eastAsia="Verdana" w:hAnsi="Verdana" w:cs="Verdana"/>
          <w:b/>
          <w:bCs/>
          <w:sz w:val="20"/>
          <w:szCs w:val="20"/>
        </w:rPr>
        <w:t>Salarios, prestaciones sociales e indemnizaciones:</w:t>
      </w:r>
      <w:r w:rsidRPr="001A3FFD">
        <w:rPr>
          <w:rFonts w:ascii="Verdana" w:eastAsia="Verdana" w:hAnsi="Verdana" w:cs="Verdana"/>
          <w:sz w:val="20"/>
          <w:szCs w:val="20"/>
        </w:rPr>
        <w:t xml:space="preserve"> </w:t>
      </w:r>
      <w:r w:rsidR="00316545" w:rsidRPr="001A3FFD">
        <w:rPr>
          <w:rFonts w:ascii="Verdana" w:eastAsia="Verdana" w:hAnsi="Verdana" w:cs="Verdana"/>
          <w:sz w:val="20"/>
          <w:szCs w:val="20"/>
        </w:rPr>
        <w:t>Cumplimiento del contrato: Cubrirá al MINISTERIO para garantizar el cumplimiento general del mismo, el pago de multas, de la pena pecuniaria y demás sanciones, en cuantía equivalente al diez por ciento (10%) del valor del contrato y con una vigencia igual a la duración del contrato, seis (6) meses más y hasta la liquidación del contrato.</w:t>
      </w:r>
    </w:p>
    <w:p w14:paraId="122403E0" w14:textId="77777777" w:rsidR="00316545" w:rsidRPr="001A3FFD" w:rsidRDefault="00486C96" w:rsidP="00316545">
      <w:pPr>
        <w:pStyle w:val="Prrafodelista"/>
        <w:numPr>
          <w:ilvl w:val="0"/>
          <w:numId w:val="7"/>
        </w:numPr>
        <w:ind w:right="-801"/>
        <w:jc w:val="both"/>
        <w:textAlignment w:val="baseline"/>
        <w:rPr>
          <w:rFonts w:ascii="Verdana" w:eastAsia="Verdana" w:hAnsi="Verdana" w:cs="Verdana"/>
          <w:sz w:val="20"/>
          <w:szCs w:val="20"/>
        </w:rPr>
      </w:pPr>
      <w:r w:rsidRPr="001A3FFD">
        <w:rPr>
          <w:rFonts w:ascii="Verdana" w:eastAsia="Verdana" w:hAnsi="Verdana" w:cs="Verdana"/>
          <w:b/>
          <w:bCs/>
          <w:sz w:val="20"/>
          <w:szCs w:val="20"/>
        </w:rPr>
        <w:t>Responsabilidad civil extracontractual:</w:t>
      </w:r>
      <w:r w:rsidR="00316545" w:rsidRPr="001A3FFD">
        <w:rPr>
          <w:rFonts w:ascii="Verdana" w:eastAsia="Verdana" w:hAnsi="Verdana" w:cs="Verdana"/>
          <w:b/>
          <w:bCs/>
          <w:sz w:val="20"/>
          <w:szCs w:val="20"/>
        </w:rPr>
        <w:t xml:space="preserve"> </w:t>
      </w:r>
      <w:r w:rsidR="00316545" w:rsidRPr="001A3FFD">
        <w:rPr>
          <w:rFonts w:ascii="Verdana" w:eastAsia="Verdana" w:hAnsi="Verdana" w:cs="Verdana"/>
          <w:sz w:val="20"/>
          <w:szCs w:val="20"/>
        </w:rPr>
        <w:t>Cubrirá al MINISTERIO para garantizar la responsabilidad civil frente a terceros, derivada de la ejecución del contrato, en cuantía equivalente a (200 SMMLV), que cubra los siguientes amparos:: Cobertura expresa de perjuicios por daño emergente y lucro cesante, Cobertura expresa de perjuicios extramatrimoniales, Cobertura expresa de la responsabilidad surgida por actos de contratistas y subcontratistas, salvo que el subcontratista tenga su propio seguro de responsabilidad extracontractual, con los mismos amparos aquí requeridos, Cobertura expresa de amparo patronal, Cobertura expresa de vehículos propios y no propios.</w:t>
      </w:r>
    </w:p>
    <w:p w14:paraId="16DC82DE" w14:textId="77777777" w:rsidR="006C1B43" w:rsidRDefault="00316545" w:rsidP="006C1B43">
      <w:pPr>
        <w:pStyle w:val="Prrafodelista"/>
        <w:ind w:left="-207" w:right="-801"/>
        <w:jc w:val="both"/>
        <w:textAlignment w:val="baseline"/>
        <w:rPr>
          <w:rFonts w:ascii="Verdana" w:eastAsia="Verdana" w:hAnsi="Verdana" w:cs="Verdana"/>
          <w:sz w:val="20"/>
          <w:szCs w:val="20"/>
        </w:rPr>
      </w:pPr>
      <w:r w:rsidRPr="001A3FFD">
        <w:rPr>
          <w:rFonts w:ascii="Verdana" w:eastAsia="Verdana" w:hAnsi="Verdana" w:cs="Verdana"/>
          <w:sz w:val="20"/>
          <w:szCs w:val="20"/>
        </w:rPr>
        <w:t xml:space="preserve">MODALIDAD E INTERVINIENTES: MODALIDAD DE OCURRENCIA, ASEGURADOS: MINISTERIO DE LAS CULTURAS, LAS ARTES Y CONTRATISTA. Mecanismos de participación de la perdida por parte de la entidad asegurada: Deducible con tope máximo del diez por ciento (10%) del valor de cada perdida sin que en ningún caso puedan ser superiores a dos mil salarios mínimos legales mensuales vigentes (2.000 </w:t>
      </w:r>
      <w:proofErr w:type="spellStart"/>
      <w:r w:rsidRPr="001A3FFD">
        <w:rPr>
          <w:rFonts w:ascii="Verdana" w:eastAsia="Verdana" w:hAnsi="Verdana" w:cs="Verdana"/>
          <w:sz w:val="20"/>
          <w:szCs w:val="20"/>
        </w:rPr>
        <w:t>smmlv</w:t>
      </w:r>
      <w:proofErr w:type="spellEnd"/>
      <w:r w:rsidRPr="001A3FFD">
        <w:rPr>
          <w:rFonts w:ascii="Verdana" w:eastAsia="Verdana" w:hAnsi="Verdana" w:cs="Verdana"/>
          <w:sz w:val="20"/>
          <w:szCs w:val="20"/>
        </w:rPr>
        <w:t>). Las franquicias, coaseguros obligatorios y demás formas de estipulación que conlleven asunción de parte de la perdida por la entidad aseguradora no serán admisibles.</w:t>
      </w:r>
      <w:r w:rsidR="00486C96" w:rsidRPr="001A3FFD">
        <w:rPr>
          <w:rFonts w:ascii="Verdana" w:eastAsia="Verdana" w:hAnsi="Verdana" w:cs="Verdana"/>
          <w:sz w:val="20"/>
          <w:szCs w:val="20"/>
        </w:rPr>
        <w:t>.</w:t>
      </w:r>
    </w:p>
    <w:p w14:paraId="0AB3A72C" w14:textId="77777777" w:rsidR="006C1B43" w:rsidRDefault="006C1B43" w:rsidP="006C1B43">
      <w:pPr>
        <w:pStyle w:val="Prrafodelista"/>
        <w:ind w:left="-207" w:right="-801"/>
        <w:jc w:val="both"/>
        <w:textAlignment w:val="baseline"/>
        <w:rPr>
          <w:rFonts w:ascii="Verdana" w:eastAsia="Verdana" w:hAnsi="Verdana" w:cs="Verdana"/>
          <w:sz w:val="20"/>
          <w:szCs w:val="20"/>
        </w:rPr>
      </w:pPr>
    </w:p>
    <w:p w14:paraId="5FEDF231" w14:textId="77777777" w:rsidR="006C1B43" w:rsidRDefault="00486C96" w:rsidP="006C1B43">
      <w:pPr>
        <w:pStyle w:val="Prrafodelista"/>
        <w:ind w:left="-207" w:right="-801"/>
        <w:jc w:val="both"/>
        <w:textAlignment w:val="baseline"/>
        <w:rPr>
          <w:rFonts w:ascii="Verdana" w:eastAsia="Verdana" w:hAnsi="Verdana" w:cs="Verdana"/>
          <w:sz w:val="20"/>
          <w:szCs w:val="20"/>
        </w:rPr>
      </w:pPr>
      <w:r w:rsidRPr="001A3FFD">
        <w:rPr>
          <w:rFonts w:ascii="Verdana" w:eastAsia="Verdana" w:hAnsi="Verdana" w:cs="Verdana"/>
          <w:b/>
          <w:bCs/>
          <w:sz w:val="20"/>
          <w:szCs w:val="20"/>
        </w:rPr>
        <w:t>REPOSICIÓN DE LA GARANTÍA:</w:t>
      </w:r>
      <w:r w:rsidRPr="001A3FFD">
        <w:rPr>
          <w:rFonts w:ascii="Verdana" w:eastAsia="Verdana" w:hAnsi="Verdana" w:cs="Verdana"/>
          <w:sz w:val="20"/>
          <w:szCs w:val="20"/>
        </w:rPr>
        <w:t xml:space="preserve"> La asociación deberá reponer el monto de la garantía cuando el valor de esta se vea afectado por razón de siniestros. Igualmente, en cualquier evento en que se aumente el valor del con</w:t>
      </w:r>
      <w:r w:rsidR="330811C6" w:rsidRPr="001A3FFD">
        <w:rPr>
          <w:rFonts w:ascii="Verdana" w:eastAsia="Verdana" w:hAnsi="Verdana" w:cs="Verdana"/>
          <w:sz w:val="20"/>
          <w:szCs w:val="20"/>
        </w:rPr>
        <w:t>trato</w:t>
      </w:r>
      <w:r w:rsidRPr="001A3FFD">
        <w:rPr>
          <w:rFonts w:ascii="Verdana" w:eastAsia="Verdana" w:hAnsi="Verdana" w:cs="Verdana"/>
          <w:sz w:val="20"/>
          <w:szCs w:val="20"/>
        </w:rPr>
        <w:t xml:space="preserve"> o se prorrogue su vigencia, deberá ampliarse o prorrogarse la correspondiente garantía.</w:t>
      </w:r>
    </w:p>
    <w:p w14:paraId="04A4B293" w14:textId="6FEC866D" w:rsidR="00486C96" w:rsidRPr="001A3FFD" w:rsidRDefault="00486C96" w:rsidP="006C1B43">
      <w:pPr>
        <w:pStyle w:val="Prrafodelista"/>
        <w:ind w:left="-207" w:right="-801"/>
        <w:jc w:val="both"/>
        <w:textAlignment w:val="baseline"/>
        <w:rPr>
          <w:rFonts w:ascii="Verdana" w:eastAsia="Verdana" w:hAnsi="Verdana" w:cs="Verdana"/>
          <w:sz w:val="20"/>
          <w:szCs w:val="20"/>
        </w:rPr>
      </w:pPr>
      <w:r w:rsidRPr="001A3FFD">
        <w:rPr>
          <w:rFonts w:ascii="Verdana" w:eastAsia="Verdana" w:hAnsi="Verdana" w:cs="Verdana"/>
          <w:sz w:val="20"/>
          <w:szCs w:val="20"/>
        </w:rPr>
        <w:t>El MINISTERIO amparará con esta garantía, solo los recursos públicos incorporados a ella y, si se gestionan recursos privados o de otro orden, solo se ampararán por solicitud escrita del aportante.</w:t>
      </w:r>
    </w:p>
    <w:p w14:paraId="483C465F" w14:textId="77777777" w:rsidR="00486C96" w:rsidRPr="001A3FFD" w:rsidRDefault="00486C96" w:rsidP="007B4DE2">
      <w:pPr>
        <w:ind w:left="-567" w:right="-801"/>
        <w:jc w:val="both"/>
        <w:rPr>
          <w:rFonts w:ascii="Verdana" w:eastAsia="Verdana" w:hAnsi="Verdana" w:cs="Verdana"/>
          <w:sz w:val="20"/>
          <w:szCs w:val="20"/>
        </w:rPr>
      </w:pPr>
    </w:p>
    <w:p w14:paraId="5CD52E76" w14:textId="77777777" w:rsidR="00C9183C" w:rsidRPr="001A3FFD" w:rsidRDefault="00C9183C" w:rsidP="006C1B43">
      <w:pPr>
        <w:pStyle w:val="Prrafodelista"/>
        <w:numPr>
          <w:ilvl w:val="1"/>
          <w:numId w:val="4"/>
        </w:numPr>
        <w:spacing w:after="240"/>
        <w:ind w:left="-567" w:right="-801" w:firstLine="0"/>
        <w:jc w:val="both"/>
        <w:rPr>
          <w:rFonts w:ascii="Verdana" w:eastAsia="Verdana" w:hAnsi="Verdana" w:cs="Verdana"/>
          <w:b/>
          <w:bCs/>
          <w:sz w:val="20"/>
          <w:szCs w:val="20"/>
        </w:rPr>
      </w:pPr>
      <w:bookmarkStart w:id="4" w:name="_Toc56091433"/>
      <w:r w:rsidRPr="001A3FFD">
        <w:rPr>
          <w:rFonts w:ascii="Verdana" w:eastAsia="Verdana" w:hAnsi="Verdana" w:cs="Verdana"/>
          <w:b/>
          <w:bCs/>
          <w:sz w:val="20"/>
          <w:szCs w:val="20"/>
        </w:rPr>
        <w:t>Aspectos técnicos de la demanda</w:t>
      </w:r>
      <w:bookmarkEnd w:id="4"/>
      <w:r w:rsidRPr="001A3FFD">
        <w:rPr>
          <w:rFonts w:ascii="Verdana" w:eastAsia="Verdana" w:hAnsi="Verdana" w:cs="Verdana"/>
          <w:b/>
          <w:bCs/>
          <w:sz w:val="20"/>
          <w:szCs w:val="20"/>
        </w:rPr>
        <w:t xml:space="preserve"> </w:t>
      </w:r>
    </w:p>
    <w:p w14:paraId="06CF5605" w14:textId="77777777" w:rsidR="00A45A16" w:rsidRPr="001A3FFD" w:rsidRDefault="00A45A16" w:rsidP="00486C96">
      <w:pPr>
        <w:pStyle w:val="Prrafodelista"/>
        <w:spacing w:before="120" w:after="120"/>
        <w:ind w:left="-567" w:right="-801"/>
        <w:jc w:val="both"/>
        <w:rPr>
          <w:rFonts w:ascii="Verdana" w:eastAsia="Verdana" w:hAnsi="Verdana" w:cs="Verdana"/>
          <w:i/>
          <w:iCs/>
          <w:sz w:val="20"/>
          <w:szCs w:val="20"/>
        </w:rPr>
      </w:pPr>
      <w:bookmarkStart w:id="5" w:name="_Toc56091434"/>
      <w:r w:rsidRPr="001A3FFD">
        <w:rPr>
          <w:rFonts w:ascii="Verdana" w:eastAsia="Verdana" w:hAnsi="Verdana" w:cs="Verdana"/>
          <w:i/>
          <w:iCs/>
          <w:sz w:val="20"/>
          <w:szCs w:val="20"/>
        </w:rPr>
        <w:t>Clasificación UNSPSC</w:t>
      </w:r>
      <w:bookmarkEnd w:id="5"/>
      <w:r w:rsidRPr="001A3FFD">
        <w:rPr>
          <w:rFonts w:ascii="Verdana" w:eastAsia="Verdana" w:hAnsi="Verdana" w:cs="Verdana"/>
          <w:i/>
          <w:iCs/>
          <w:sz w:val="20"/>
          <w:szCs w:val="20"/>
        </w:rPr>
        <w:t xml:space="preserve"> </w:t>
      </w:r>
    </w:p>
    <w:p w14:paraId="6A00DF14" w14:textId="15AE230A" w:rsidR="00A45A16" w:rsidRPr="001A3FFD" w:rsidRDefault="00A45A16" w:rsidP="2BA04387">
      <w:pPr>
        <w:spacing w:before="120" w:after="120"/>
        <w:ind w:left="-567" w:right="-801"/>
        <w:jc w:val="both"/>
        <w:rPr>
          <w:rFonts w:ascii="Verdana" w:eastAsia="Verdana" w:hAnsi="Verdana" w:cs="Verdana"/>
          <w:b/>
          <w:bCs/>
          <w:sz w:val="20"/>
          <w:szCs w:val="20"/>
        </w:rPr>
      </w:pPr>
      <w:r w:rsidRPr="001A3FFD">
        <w:rPr>
          <w:rFonts w:ascii="Verdana" w:eastAsia="Verdana" w:hAnsi="Verdana" w:cs="Verdana"/>
          <w:sz w:val="20"/>
          <w:szCs w:val="20"/>
          <w:lang w:val="es-ES"/>
        </w:rPr>
        <w:t>Luego de analizado el documento que consagra los Códigos Estándar de Productos y Servicios de Naciones Unidas –U NSPSC- y el Manual para la Codificación de Bienes y Servicios, expedido por Colombia Compra eficiente, se ha establecido que el objeto del con</w:t>
      </w:r>
      <w:r w:rsidR="21C9AB20" w:rsidRPr="001A3FFD">
        <w:rPr>
          <w:rFonts w:ascii="Verdana" w:eastAsia="Verdana" w:hAnsi="Verdana" w:cs="Verdana"/>
          <w:sz w:val="20"/>
          <w:szCs w:val="20"/>
          <w:lang w:val="es-ES"/>
        </w:rPr>
        <w:t>trat</w:t>
      </w:r>
      <w:r w:rsidRPr="001A3FFD">
        <w:rPr>
          <w:rFonts w:ascii="Verdana" w:eastAsia="Verdana" w:hAnsi="Verdana" w:cs="Verdana"/>
          <w:sz w:val="20"/>
          <w:szCs w:val="20"/>
          <w:lang w:val="es-ES"/>
        </w:rPr>
        <w:t>o del presente proceso de selección se identifica así</w:t>
      </w:r>
      <w:r w:rsidR="311E56EA" w:rsidRPr="001A3FFD">
        <w:rPr>
          <w:rFonts w:ascii="Verdana" w:eastAsia="Verdana" w:hAnsi="Verdana" w:cs="Verdana"/>
          <w:sz w:val="20"/>
          <w:szCs w:val="20"/>
          <w:lang w:val="es-ES"/>
        </w:rPr>
        <w:t>:</w:t>
      </w:r>
    </w:p>
    <w:p w14:paraId="3E6B2668" w14:textId="6CA3CF76" w:rsidR="2BA04387" w:rsidRPr="001A3FFD" w:rsidRDefault="2BA04387" w:rsidP="2BA04387">
      <w:pPr>
        <w:spacing w:before="120" w:after="120"/>
        <w:ind w:left="-567" w:right="-801"/>
        <w:jc w:val="center"/>
        <w:rPr>
          <w:rFonts w:ascii="Verdana" w:eastAsia="Verdana" w:hAnsi="Verdana" w:cs="Verdana"/>
          <w:sz w:val="20"/>
          <w:szCs w:val="20"/>
          <w:lang w:val="es-ES"/>
        </w:rPr>
      </w:pPr>
    </w:p>
    <w:tbl>
      <w:tblPr>
        <w:tblW w:w="0" w:type="auto"/>
        <w:jc w:val="center"/>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1785"/>
        <w:gridCol w:w="1770"/>
        <w:gridCol w:w="2040"/>
        <w:gridCol w:w="2325"/>
      </w:tblGrid>
      <w:tr w:rsidR="00A97E37" w:rsidRPr="001A3FFD" w14:paraId="4DE744C0" w14:textId="77777777" w:rsidTr="2BA04387">
        <w:trPr>
          <w:trHeight w:val="300"/>
          <w:jc w:val="center"/>
        </w:trPr>
        <w:tc>
          <w:tcPr>
            <w:tcW w:w="178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7FC4749" w14:textId="066E942C" w:rsidR="2BA04387" w:rsidRPr="001A3FFD" w:rsidRDefault="2BA04387" w:rsidP="2BA04387">
            <w:pPr>
              <w:tabs>
                <w:tab w:val="left" w:pos="993"/>
              </w:tabs>
              <w:jc w:val="center"/>
              <w:rPr>
                <w:rFonts w:ascii="Verdana" w:eastAsia="Work Sans" w:hAnsi="Verdana" w:cs="Work Sans"/>
                <w:sz w:val="20"/>
                <w:szCs w:val="20"/>
              </w:rPr>
            </w:pPr>
            <w:r w:rsidRPr="001A3FFD">
              <w:rPr>
                <w:rFonts w:ascii="Verdana" w:eastAsia="Work Sans" w:hAnsi="Verdana" w:cs="Work Sans"/>
                <w:b/>
                <w:bCs/>
                <w:sz w:val="20"/>
                <w:szCs w:val="20"/>
              </w:rPr>
              <w:lastRenderedPageBreak/>
              <w:t>SEGMENTO</w:t>
            </w:r>
          </w:p>
        </w:tc>
        <w:tc>
          <w:tcPr>
            <w:tcW w:w="177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7D3210C" w14:textId="1A26F71F" w:rsidR="2BA04387" w:rsidRPr="001A3FFD" w:rsidRDefault="2BA04387" w:rsidP="2BA04387">
            <w:pPr>
              <w:tabs>
                <w:tab w:val="left" w:pos="993"/>
              </w:tabs>
              <w:jc w:val="center"/>
              <w:rPr>
                <w:rFonts w:ascii="Verdana" w:eastAsia="Work Sans" w:hAnsi="Verdana" w:cs="Work Sans"/>
                <w:sz w:val="20"/>
                <w:szCs w:val="20"/>
              </w:rPr>
            </w:pPr>
            <w:r w:rsidRPr="001A3FFD">
              <w:rPr>
                <w:rFonts w:ascii="Verdana" w:eastAsia="Work Sans" w:hAnsi="Verdana" w:cs="Work Sans"/>
                <w:b/>
                <w:bCs/>
                <w:sz w:val="20"/>
                <w:szCs w:val="20"/>
              </w:rPr>
              <w:t>FAMILIA</w:t>
            </w:r>
          </w:p>
        </w:tc>
        <w:tc>
          <w:tcPr>
            <w:tcW w:w="204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71FF384" w14:textId="7907815F" w:rsidR="2BA04387" w:rsidRPr="001A3FFD" w:rsidRDefault="2BA04387" w:rsidP="2BA04387">
            <w:pPr>
              <w:tabs>
                <w:tab w:val="left" w:pos="993"/>
              </w:tabs>
              <w:jc w:val="center"/>
              <w:rPr>
                <w:rFonts w:ascii="Verdana" w:eastAsia="Work Sans" w:hAnsi="Verdana" w:cs="Work Sans"/>
                <w:sz w:val="20"/>
                <w:szCs w:val="20"/>
              </w:rPr>
            </w:pPr>
            <w:r w:rsidRPr="001A3FFD">
              <w:rPr>
                <w:rFonts w:ascii="Verdana" w:eastAsia="Work Sans" w:hAnsi="Verdana" w:cs="Work Sans"/>
                <w:b/>
                <w:bCs/>
                <w:sz w:val="20"/>
                <w:szCs w:val="20"/>
              </w:rPr>
              <w:t>CLASE</w:t>
            </w:r>
          </w:p>
        </w:tc>
        <w:tc>
          <w:tcPr>
            <w:tcW w:w="232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4B37B8F3" w14:textId="5266EEC6" w:rsidR="2BA04387" w:rsidRPr="001A3FFD" w:rsidRDefault="2BA04387" w:rsidP="2BA04387">
            <w:pPr>
              <w:tabs>
                <w:tab w:val="left" w:pos="993"/>
              </w:tabs>
              <w:jc w:val="center"/>
              <w:rPr>
                <w:rFonts w:ascii="Verdana" w:eastAsia="Work Sans" w:hAnsi="Verdana" w:cs="Work Sans"/>
                <w:sz w:val="20"/>
                <w:szCs w:val="20"/>
              </w:rPr>
            </w:pPr>
            <w:r w:rsidRPr="001A3FFD">
              <w:rPr>
                <w:rFonts w:ascii="Verdana" w:eastAsia="Work Sans" w:hAnsi="Verdana" w:cs="Work Sans"/>
                <w:b/>
                <w:bCs/>
                <w:sz w:val="20"/>
                <w:szCs w:val="20"/>
              </w:rPr>
              <w:t>PRODUCTO</w:t>
            </w:r>
          </w:p>
        </w:tc>
      </w:tr>
      <w:tr w:rsidR="00A97E37" w:rsidRPr="001A3FFD" w14:paraId="1E0007BB" w14:textId="77777777" w:rsidTr="2BA04387">
        <w:trPr>
          <w:trHeight w:val="300"/>
          <w:jc w:val="center"/>
        </w:trPr>
        <w:tc>
          <w:tcPr>
            <w:tcW w:w="178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577D9DF3" w14:textId="3B44903F" w:rsidR="2BA04387" w:rsidRPr="001A3FFD" w:rsidRDefault="2BA04387" w:rsidP="2BA04387">
            <w:pPr>
              <w:tabs>
                <w:tab w:val="left" w:pos="993"/>
              </w:tabs>
              <w:jc w:val="center"/>
              <w:rPr>
                <w:rFonts w:ascii="Verdana" w:eastAsia="Work Sans" w:hAnsi="Verdana" w:cs="Work Sans"/>
                <w:sz w:val="20"/>
                <w:szCs w:val="20"/>
              </w:rPr>
            </w:pPr>
            <w:r w:rsidRPr="001A3FFD">
              <w:rPr>
                <w:rFonts w:ascii="Verdana" w:eastAsia="Work Sans" w:hAnsi="Verdana" w:cs="Work Sans"/>
                <w:sz w:val="20"/>
                <w:szCs w:val="20"/>
              </w:rPr>
              <w:t>93 -</w:t>
            </w:r>
            <w:r w:rsidRPr="001A3FFD">
              <w:rPr>
                <w:rFonts w:ascii="Verdana" w:eastAsia="Work Sans" w:hAnsi="Verdana" w:cs="Work Sans"/>
                <w:b/>
                <w:bCs/>
                <w:sz w:val="20"/>
                <w:szCs w:val="20"/>
              </w:rPr>
              <w:t xml:space="preserve"> </w:t>
            </w:r>
            <w:r w:rsidRPr="001A3FFD">
              <w:rPr>
                <w:rFonts w:ascii="Verdana" w:eastAsia="Work Sans" w:hAnsi="Verdana" w:cs="Work Sans"/>
                <w:sz w:val="20"/>
                <w:szCs w:val="20"/>
              </w:rPr>
              <w:t>Servicios Políticos y de Asuntos Cívicos</w:t>
            </w:r>
          </w:p>
        </w:tc>
        <w:tc>
          <w:tcPr>
            <w:tcW w:w="177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3BA189FB" w14:textId="55D119A4" w:rsidR="2BA04387" w:rsidRPr="001A3FFD" w:rsidRDefault="2BA04387" w:rsidP="2BA04387">
            <w:pPr>
              <w:tabs>
                <w:tab w:val="left" w:pos="993"/>
              </w:tabs>
              <w:jc w:val="center"/>
              <w:rPr>
                <w:rFonts w:ascii="Verdana" w:eastAsia="Work Sans" w:hAnsi="Verdana" w:cs="Work Sans"/>
                <w:sz w:val="20"/>
                <w:szCs w:val="20"/>
              </w:rPr>
            </w:pPr>
            <w:r w:rsidRPr="001A3FFD">
              <w:rPr>
                <w:rFonts w:ascii="Verdana" w:eastAsia="Work Sans" w:hAnsi="Verdana" w:cs="Work Sans"/>
                <w:sz w:val="20"/>
                <w:szCs w:val="20"/>
              </w:rPr>
              <w:t>9314 - Servicios comunitarios y sociales</w:t>
            </w:r>
          </w:p>
        </w:tc>
        <w:tc>
          <w:tcPr>
            <w:tcW w:w="2040"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150FBA46" w14:textId="3B933E4C" w:rsidR="2BA04387" w:rsidRPr="001A3FFD" w:rsidRDefault="2BA04387" w:rsidP="2BA04387">
            <w:pPr>
              <w:tabs>
                <w:tab w:val="left" w:pos="993"/>
              </w:tabs>
              <w:jc w:val="center"/>
              <w:rPr>
                <w:rFonts w:ascii="Verdana" w:eastAsia="Work Sans" w:hAnsi="Verdana" w:cs="Work Sans"/>
                <w:sz w:val="20"/>
                <w:szCs w:val="20"/>
              </w:rPr>
            </w:pPr>
            <w:r w:rsidRPr="001A3FFD">
              <w:rPr>
                <w:rFonts w:ascii="Verdana" w:eastAsia="Work Sans" w:hAnsi="Verdana" w:cs="Work Sans"/>
                <w:sz w:val="20"/>
                <w:szCs w:val="20"/>
              </w:rPr>
              <w:t>931417 - Cultura</w:t>
            </w:r>
          </w:p>
        </w:tc>
        <w:tc>
          <w:tcPr>
            <w:tcW w:w="2325" w:type="dxa"/>
            <w:tcBorders>
              <w:top w:val="single" w:sz="6" w:space="0" w:color="auto"/>
              <w:left w:val="single" w:sz="6" w:space="0" w:color="auto"/>
              <w:bottom w:val="single" w:sz="6" w:space="0" w:color="auto"/>
              <w:right w:val="single" w:sz="6" w:space="0" w:color="auto"/>
            </w:tcBorders>
            <w:tcMar>
              <w:left w:w="105" w:type="dxa"/>
              <w:right w:w="105" w:type="dxa"/>
            </w:tcMar>
            <w:vAlign w:val="center"/>
          </w:tcPr>
          <w:p w14:paraId="76147F8A" w14:textId="47CF412D" w:rsidR="2BA04387" w:rsidRPr="001A3FFD" w:rsidRDefault="2BA04387" w:rsidP="2BA04387">
            <w:pPr>
              <w:tabs>
                <w:tab w:val="left" w:pos="993"/>
              </w:tabs>
              <w:jc w:val="center"/>
              <w:rPr>
                <w:rFonts w:ascii="Verdana" w:eastAsia="Work Sans" w:hAnsi="Verdana" w:cs="Work Sans"/>
                <w:sz w:val="20"/>
                <w:szCs w:val="20"/>
              </w:rPr>
            </w:pPr>
            <w:r w:rsidRPr="001A3FFD">
              <w:rPr>
                <w:rFonts w:ascii="Verdana" w:eastAsia="Work Sans" w:hAnsi="Verdana" w:cs="Work Sans"/>
                <w:sz w:val="20"/>
                <w:szCs w:val="20"/>
              </w:rPr>
              <w:t>93141702 - Servicios de promoción cultural</w:t>
            </w:r>
          </w:p>
        </w:tc>
      </w:tr>
    </w:tbl>
    <w:p w14:paraId="74A0632B" w14:textId="2F8E036B" w:rsidR="00486C96" w:rsidRPr="006C1B43" w:rsidRDefault="00C70FB5" w:rsidP="00316545">
      <w:pPr>
        <w:ind w:left="-567" w:right="-801" w:firstLine="548"/>
        <w:jc w:val="center"/>
        <w:rPr>
          <w:rFonts w:ascii="Verdana" w:eastAsia="Verdana" w:hAnsi="Verdana" w:cs="Verdana"/>
          <w:i/>
          <w:iCs/>
          <w:sz w:val="16"/>
          <w:szCs w:val="16"/>
        </w:rPr>
      </w:pPr>
      <w:r w:rsidRPr="006C1B43">
        <w:rPr>
          <w:rFonts w:ascii="Verdana" w:eastAsia="Verdana" w:hAnsi="Verdana" w:cs="Verdana"/>
          <w:i/>
          <w:iCs/>
          <w:sz w:val="16"/>
          <w:szCs w:val="16"/>
        </w:rPr>
        <w:t>Fuente:</w:t>
      </w:r>
      <w:r w:rsidR="00316545" w:rsidRPr="006C1B43">
        <w:rPr>
          <w:rFonts w:ascii="Verdana" w:eastAsia="Verdana" w:hAnsi="Verdana" w:cs="Verdana"/>
          <w:i/>
          <w:iCs/>
          <w:sz w:val="16"/>
          <w:szCs w:val="16"/>
        </w:rPr>
        <w:t xml:space="preserve"> </w:t>
      </w:r>
      <w:r w:rsidRPr="006C1B43">
        <w:rPr>
          <w:rFonts w:ascii="Verdana" w:eastAsia="Verdana" w:hAnsi="Verdana" w:cs="Verdana"/>
          <w:i/>
          <w:iCs/>
          <w:sz w:val="16"/>
          <w:szCs w:val="16"/>
        </w:rPr>
        <w:t>SECOP II</w:t>
      </w:r>
      <w:bookmarkStart w:id="6" w:name="_Toc56091435"/>
    </w:p>
    <w:p w14:paraId="2C9CB1AD" w14:textId="77777777" w:rsidR="00486C96" w:rsidRPr="001A3FFD" w:rsidRDefault="00486C96" w:rsidP="00486C96">
      <w:pPr>
        <w:ind w:left="-567" w:right="-801" w:firstLine="548"/>
        <w:jc w:val="center"/>
        <w:rPr>
          <w:rFonts w:ascii="Verdana" w:eastAsia="Verdana" w:hAnsi="Verdana" w:cs="Verdana"/>
          <w:i/>
          <w:iCs/>
          <w:sz w:val="20"/>
          <w:szCs w:val="20"/>
        </w:rPr>
      </w:pPr>
    </w:p>
    <w:p w14:paraId="47A340DC" w14:textId="44855119" w:rsidR="00A45A16" w:rsidRPr="001A3FFD" w:rsidRDefault="00486C96" w:rsidP="006C1B43">
      <w:pPr>
        <w:pStyle w:val="Prrafodelista"/>
        <w:numPr>
          <w:ilvl w:val="0"/>
          <w:numId w:val="4"/>
        </w:numPr>
        <w:ind w:left="-567" w:right="-801" w:firstLine="0"/>
        <w:jc w:val="both"/>
        <w:rPr>
          <w:rFonts w:ascii="Verdana" w:eastAsia="Verdana" w:hAnsi="Verdana" w:cs="Verdana"/>
          <w:b/>
          <w:bCs/>
          <w:sz w:val="20"/>
          <w:szCs w:val="20"/>
        </w:rPr>
      </w:pPr>
      <w:r w:rsidRPr="001A3FFD">
        <w:rPr>
          <w:rFonts w:ascii="Verdana" w:eastAsia="Verdana" w:hAnsi="Verdana" w:cs="Verdana"/>
          <w:b/>
          <w:bCs/>
          <w:sz w:val="20"/>
          <w:szCs w:val="20"/>
        </w:rPr>
        <w:t>ESPECIFICACIONES TÉCNICAS RELEVANTES DEL BIEN O SERVICIO A CONTRATAR</w:t>
      </w:r>
      <w:bookmarkEnd w:id="6"/>
    </w:p>
    <w:p w14:paraId="18481778" w14:textId="77777777" w:rsidR="00486C96" w:rsidRPr="001A3FFD" w:rsidRDefault="00486C96" w:rsidP="007B4DE2">
      <w:pPr>
        <w:pStyle w:val="Sinespaciado"/>
        <w:ind w:left="-567" w:right="-801"/>
        <w:jc w:val="both"/>
        <w:rPr>
          <w:rFonts w:ascii="Verdana" w:eastAsia="Verdana" w:hAnsi="Verdana" w:cs="Verdana"/>
          <w:sz w:val="20"/>
          <w:szCs w:val="20"/>
          <w:lang w:eastAsia="es-MX"/>
        </w:rPr>
      </w:pPr>
    </w:p>
    <w:p w14:paraId="77DB456C" w14:textId="77777777" w:rsidR="00486C96" w:rsidRPr="001A3FFD" w:rsidRDefault="00C836E4" w:rsidP="00486C96">
      <w:pPr>
        <w:pStyle w:val="Sinespaciado"/>
        <w:ind w:left="-567" w:right="-801"/>
        <w:jc w:val="both"/>
        <w:rPr>
          <w:rFonts w:ascii="Verdana" w:eastAsia="Verdana" w:hAnsi="Verdana" w:cs="Verdana"/>
          <w:sz w:val="20"/>
          <w:szCs w:val="20"/>
          <w:lang w:eastAsia="es-MX"/>
        </w:rPr>
      </w:pPr>
      <w:r w:rsidRPr="001A3FFD">
        <w:rPr>
          <w:rFonts w:ascii="Verdana" w:eastAsia="Verdana" w:hAnsi="Verdana" w:cs="Verdana"/>
          <w:sz w:val="20"/>
          <w:szCs w:val="20"/>
          <w:lang w:eastAsia="es-MX"/>
        </w:rPr>
        <w:t>Se requiere realizar un</w:t>
      </w:r>
      <w:r w:rsidR="00486C96" w:rsidRPr="001A3FFD">
        <w:rPr>
          <w:rFonts w:ascii="Verdana" w:eastAsia="Verdana" w:hAnsi="Verdana" w:cs="Verdana"/>
          <w:sz w:val="20"/>
          <w:szCs w:val="20"/>
          <w:lang w:eastAsia="es-MX"/>
        </w:rPr>
        <w:t xml:space="preserve">a contratación directa </w:t>
      </w:r>
      <w:r w:rsidRPr="001A3FFD">
        <w:rPr>
          <w:rFonts w:ascii="Verdana" w:eastAsia="Verdana" w:hAnsi="Verdana" w:cs="Verdana"/>
          <w:sz w:val="20"/>
          <w:szCs w:val="20"/>
          <w:lang w:eastAsia="es-MX"/>
        </w:rPr>
        <w:t>para la implementación de las acciones que se detallan a continuación:</w:t>
      </w:r>
    </w:p>
    <w:p w14:paraId="43024C78" w14:textId="77777777" w:rsidR="00486C96" w:rsidRPr="001A3FFD" w:rsidRDefault="00486C96" w:rsidP="00486C96">
      <w:pPr>
        <w:pStyle w:val="Sinespaciado"/>
        <w:ind w:left="-567" w:right="-801"/>
        <w:jc w:val="both"/>
        <w:rPr>
          <w:rFonts w:ascii="Verdana" w:eastAsia="Verdana" w:hAnsi="Verdana" w:cs="Verdana"/>
          <w:sz w:val="20"/>
          <w:szCs w:val="20"/>
          <w:lang w:eastAsia="es-MX"/>
        </w:rPr>
      </w:pPr>
    </w:p>
    <w:p w14:paraId="430A7A21" w14:textId="6522ACBE" w:rsidR="00755CC9" w:rsidRPr="001A3FFD" w:rsidRDefault="00710A8F" w:rsidP="00DD2282">
      <w:pPr>
        <w:pStyle w:val="Prrafodelista"/>
        <w:numPr>
          <w:ilvl w:val="1"/>
          <w:numId w:val="4"/>
        </w:numPr>
        <w:spacing w:after="240"/>
        <w:ind w:left="-142" w:right="-801"/>
        <w:jc w:val="both"/>
        <w:rPr>
          <w:rFonts w:ascii="Verdana" w:eastAsia="Verdana" w:hAnsi="Verdana" w:cs="Verdana"/>
          <w:b/>
          <w:bCs/>
          <w:sz w:val="20"/>
          <w:szCs w:val="20"/>
        </w:rPr>
      </w:pPr>
      <w:r w:rsidRPr="001A3FFD">
        <w:rPr>
          <w:rFonts w:ascii="Verdana" w:eastAsia="Verdana" w:hAnsi="Verdana" w:cs="Verdana"/>
          <w:b/>
          <w:bCs/>
          <w:sz w:val="20"/>
          <w:szCs w:val="20"/>
        </w:rPr>
        <w:t xml:space="preserve"> </w:t>
      </w:r>
      <w:r w:rsidR="00486C96" w:rsidRPr="001A3FFD">
        <w:rPr>
          <w:rFonts w:ascii="Verdana" w:eastAsia="Verdana" w:hAnsi="Verdana" w:cs="Verdana"/>
          <w:b/>
          <w:bCs/>
          <w:sz w:val="20"/>
          <w:szCs w:val="20"/>
        </w:rPr>
        <w:t xml:space="preserve">Análisis de la Oferta. </w:t>
      </w:r>
      <w:r w:rsidR="0074300C" w:rsidRPr="001A3FFD">
        <w:rPr>
          <w:rFonts w:ascii="Verdana" w:eastAsia="Verdana" w:hAnsi="Verdana" w:cs="Verdana"/>
          <w:b/>
          <w:bCs/>
          <w:sz w:val="20"/>
          <w:szCs w:val="20"/>
        </w:rPr>
        <w:t>Proveedores identificados</w:t>
      </w:r>
    </w:p>
    <w:p w14:paraId="73BC3ECD" w14:textId="54140C25" w:rsidR="00710A8F" w:rsidRDefault="006C79C4" w:rsidP="006C1B43">
      <w:pPr>
        <w:spacing w:before="120" w:after="120"/>
        <w:ind w:left="-567" w:right="-801"/>
        <w:jc w:val="both"/>
        <w:rPr>
          <w:rFonts w:ascii="Verdana" w:eastAsia="Verdana" w:hAnsi="Verdana" w:cs="Verdana"/>
          <w:sz w:val="20"/>
          <w:szCs w:val="20"/>
        </w:rPr>
      </w:pPr>
      <w:r w:rsidRPr="001A3FFD">
        <w:rPr>
          <w:rFonts w:ascii="Verdana" w:eastAsia="Verdana" w:hAnsi="Verdana" w:cs="Verdana"/>
          <w:sz w:val="20"/>
          <w:szCs w:val="20"/>
        </w:rPr>
        <w:t>A partir de los datos presentados por Colombia Compra Eficiente en las gráficas y tablas anexas, se pueden extraer las siguientes observaciones y conclusiones acerca de la oferta y demanda en la clasificación UNSPSC 931417 - Cultura para los años 202</w:t>
      </w:r>
      <w:r w:rsidR="00710A8F" w:rsidRPr="001A3FFD">
        <w:rPr>
          <w:rFonts w:ascii="Verdana" w:eastAsia="Verdana" w:hAnsi="Verdana" w:cs="Verdana"/>
          <w:sz w:val="20"/>
          <w:szCs w:val="20"/>
        </w:rPr>
        <w:t xml:space="preserve">3, </w:t>
      </w:r>
      <w:r w:rsidRPr="001A3FFD">
        <w:rPr>
          <w:rFonts w:ascii="Verdana" w:eastAsia="Verdana" w:hAnsi="Verdana" w:cs="Verdana"/>
          <w:sz w:val="20"/>
          <w:szCs w:val="20"/>
        </w:rPr>
        <w:t>202</w:t>
      </w:r>
      <w:r w:rsidR="00710A8F" w:rsidRPr="001A3FFD">
        <w:rPr>
          <w:rFonts w:ascii="Verdana" w:eastAsia="Verdana" w:hAnsi="Verdana" w:cs="Verdana"/>
          <w:sz w:val="20"/>
          <w:szCs w:val="20"/>
        </w:rPr>
        <w:t>4</w:t>
      </w:r>
      <w:r w:rsidRPr="001A3FFD">
        <w:rPr>
          <w:rFonts w:ascii="Verdana" w:eastAsia="Verdana" w:hAnsi="Verdana" w:cs="Verdana"/>
          <w:sz w:val="20"/>
          <w:szCs w:val="20"/>
        </w:rPr>
        <w:t xml:space="preserve"> y 202</w:t>
      </w:r>
      <w:r w:rsidR="00710A8F" w:rsidRPr="001A3FFD">
        <w:rPr>
          <w:rFonts w:ascii="Verdana" w:eastAsia="Verdana" w:hAnsi="Verdana" w:cs="Verdana"/>
          <w:sz w:val="20"/>
          <w:szCs w:val="20"/>
        </w:rPr>
        <w:t>5</w:t>
      </w:r>
      <w:r w:rsidRPr="001A3FFD">
        <w:rPr>
          <w:rFonts w:ascii="Verdana" w:eastAsia="Verdana" w:hAnsi="Verdana" w:cs="Verdana"/>
          <w:sz w:val="20"/>
          <w:szCs w:val="20"/>
        </w:rPr>
        <w:t>:</w:t>
      </w:r>
    </w:p>
    <w:p w14:paraId="2022C7BA" w14:textId="77777777" w:rsidR="006C1B43" w:rsidRPr="001A3FFD" w:rsidRDefault="006C1B43" w:rsidP="006C1B43">
      <w:pPr>
        <w:spacing w:before="120" w:after="120"/>
        <w:ind w:left="-567" w:right="-801"/>
        <w:jc w:val="both"/>
        <w:rPr>
          <w:rFonts w:ascii="Verdana" w:eastAsia="Verdana" w:hAnsi="Verdana" w:cs="Verdana"/>
          <w:sz w:val="20"/>
          <w:szCs w:val="20"/>
        </w:rPr>
      </w:pPr>
    </w:p>
    <w:p w14:paraId="7DE57622" w14:textId="1600A93E" w:rsidR="00710A8F" w:rsidRPr="001A3FFD" w:rsidRDefault="00710A8F" w:rsidP="00710A8F">
      <w:pPr>
        <w:spacing w:before="120" w:after="120"/>
        <w:ind w:left="-567" w:right="-801"/>
        <w:jc w:val="both"/>
        <w:rPr>
          <w:rFonts w:ascii="Verdana" w:eastAsia="Verdana" w:hAnsi="Verdana" w:cs="Verdana"/>
          <w:sz w:val="20"/>
          <w:szCs w:val="20"/>
        </w:rPr>
      </w:pPr>
      <w:r w:rsidRPr="001A3FFD">
        <w:rPr>
          <w:rFonts w:ascii="Verdana" w:eastAsia="Verdana" w:hAnsi="Verdana" w:cs="Verdana"/>
          <w:sz w:val="20"/>
          <w:szCs w:val="20"/>
        </w:rPr>
        <w:t>A continuación se puede evidenciar el Gasto público en Cultura, durante los últimos 3 años:</w:t>
      </w:r>
    </w:p>
    <w:p w14:paraId="32696F4A" w14:textId="1E25A079" w:rsidR="007E7FBF" w:rsidRPr="001A3FFD" w:rsidRDefault="007E7FBF" w:rsidP="008C5551">
      <w:pPr>
        <w:spacing w:before="120" w:after="120"/>
        <w:ind w:left="-567" w:right="-801"/>
        <w:jc w:val="center"/>
        <w:rPr>
          <w:rFonts w:ascii="Verdana" w:eastAsia="Verdana" w:hAnsi="Verdana" w:cs="Verdana"/>
          <w:sz w:val="20"/>
          <w:szCs w:val="20"/>
        </w:rPr>
      </w:pPr>
      <w:r w:rsidRPr="001A3FFD">
        <w:rPr>
          <w:rFonts w:ascii="Verdana" w:hAnsi="Verdana"/>
          <w:noProof/>
        </w:rPr>
        <w:drawing>
          <wp:inline distT="0" distB="0" distL="0" distR="0" wp14:anchorId="248A0C70" wp14:editId="63CE95F6">
            <wp:extent cx="3240000" cy="4245582"/>
            <wp:effectExtent l="0" t="0" r="0" b="317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240000" cy="4245582"/>
                    </a:xfrm>
                    <a:prstGeom prst="rect">
                      <a:avLst/>
                    </a:prstGeom>
                  </pic:spPr>
                </pic:pic>
              </a:graphicData>
            </a:graphic>
          </wp:inline>
        </w:drawing>
      </w:r>
    </w:p>
    <w:p w14:paraId="3AC61DF1" w14:textId="7808B8A2" w:rsidR="007E7FBF" w:rsidRPr="001A3FFD" w:rsidRDefault="007E7FBF" w:rsidP="008C5551">
      <w:pPr>
        <w:spacing w:before="120" w:after="120"/>
        <w:ind w:left="-567" w:right="-801"/>
        <w:jc w:val="center"/>
        <w:rPr>
          <w:rFonts w:ascii="Verdana" w:eastAsia="Verdana" w:hAnsi="Verdana" w:cs="Verdana"/>
          <w:sz w:val="20"/>
          <w:szCs w:val="20"/>
        </w:rPr>
      </w:pPr>
      <w:r w:rsidRPr="001A3FFD">
        <w:rPr>
          <w:rFonts w:ascii="Verdana" w:hAnsi="Verdana"/>
          <w:noProof/>
        </w:rPr>
        <w:lastRenderedPageBreak/>
        <w:drawing>
          <wp:inline distT="0" distB="0" distL="0" distR="0" wp14:anchorId="01A02175" wp14:editId="72D8D6FB">
            <wp:extent cx="3240000" cy="4229817"/>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40000" cy="4229817"/>
                    </a:xfrm>
                    <a:prstGeom prst="rect">
                      <a:avLst/>
                    </a:prstGeom>
                  </pic:spPr>
                </pic:pic>
              </a:graphicData>
            </a:graphic>
          </wp:inline>
        </w:drawing>
      </w:r>
    </w:p>
    <w:p w14:paraId="78132154" w14:textId="00CE5D2F" w:rsidR="00710A8F" w:rsidRPr="001A3FFD" w:rsidRDefault="00710A8F" w:rsidP="008C5551">
      <w:pPr>
        <w:spacing w:before="120" w:after="120"/>
        <w:ind w:left="-567" w:right="-801"/>
        <w:jc w:val="center"/>
        <w:rPr>
          <w:rFonts w:ascii="Verdana" w:eastAsia="Verdana" w:hAnsi="Verdana" w:cs="Verdana"/>
          <w:sz w:val="20"/>
          <w:szCs w:val="20"/>
        </w:rPr>
      </w:pPr>
      <w:r w:rsidRPr="001A3FFD">
        <w:rPr>
          <w:rFonts w:ascii="Verdana" w:hAnsi="Verdana"/>
          <w:noProof/>
        </w:rPr>
        <w:lastRenderedPageBreak/>
        <w:drawing>
          <wp:inline distT="0" distB="0" distL="0" distR="0" wp14:anchorId="2E3D3589" wp14:editId="36899E97">
            <wp:extent cx="3240000" cy="4137919"/>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1213" r="549"/>
                    <a:stretch/>
                  </pic:blipFill>
                  <pic:spPr bwMode="auto">
                    <a:xfrm>
                      <a:off x="0" y="0"/>
                      <a:ext cx="3240000" cy="4137919"/>
                    </a:xfrm>
                    <a:prstGeom prst="rect">
                      <a:avLst/>
                    </a:prstGeom>
                    <a:ln>
                      <a:noFill/>
                    </a:ln>
                    <a:extLst>
                      <a:ext uri="{53640926-AAD7-44D8-BBD7-CCE9431645EC}">
                        <a14:shadowObscured xmlns:a14="http://schemas.microsoft.com/office/drawing/2010/main"/>
                      </a:ext>
                    </a:extLst>
                  </pic:spPr>
                </pic:pic>
              </a:graphicData>
            </a:graphic>
          </wp:inline>
        </w:drawing>
      </w:r>
    </w:p>
    <w:p w14:paraId="41290744" w14:textId="77777777" w:rsidR="008C5551" w:rsidRPr="001A3FFD" w:rsidRDefault="008C5551" w:rsidP="008C5551">
      <w:pPr>
        <w:spacing w:before="120" w:after="120"/>
        <w:ind w:left="-851" w:right="-801"/>
        <w:jc w:val="center"/>
        <w:rPr>
          <w:rFonts w:ascii="Verdana" w:eastAsia="Verdana" w:hAnsi="Verdana" w:cs="Verdana"/>
          <w:i/>
          <w:iCs/>
          <w:sz w:val="16"/>
          <w:szCs w:val="16"/>
        </w:rPr>
      </w:pPr>
      <w:r w:rsidRPr="001A3FFD">
        <w:rPr>
          <w:rFonts w:ascii="Verdana" w:eastAsia="Verdana" w:hAnsi="Verdana" w:cs="Verdana"/>
          <w:i/>
          <w:iCs/>
          <w:sz w:val="16"/>
          <w:szCs w:val="16"/>
        </w:rPr>
        <w:t>Fuente: Agencia Nacional de Contratación Pública – Colombia Compra Eficiente</w:t>
      </w:r>
    </w:p>
    <w:p w14:paraId="44797800" w14:textId="212368EF" w:rsidR="007E7FBF" w:rsidRPr="001A3FFD" w:rsidRDefault="007E7FBF" w:rsidP="00710A8F">
      <w:pPr>
        <w:spacing w:before="120" w:after="120"/>
        <w:ind w:left="-567" w:right="-801"/>
        <w:jc w:val="both"/>
        <w:rPr>
          <w:rFonts w:ascii="Verdana" w:eastAsia="Verdana" w:hAnsi="Verdana" w:cs="Verdana"/>
          <w:sz w:val="20"/>
          <w:szCs w:val="20"/>
        </w:rPr>
      </w:pPr>
      <w:r w:rsidRPr="001A3FFD">
        <w:rPr>
          <w:rFonts w:ascii="Verdana" w:eastAsia="Verdana" w:hAnsi="Verdana" w:cs="Verdana"/>
          <w:sz w:val="20"/>
          <w:szCs w:val="20"/>
        </w:rPr>
        <w:t>El gasto anual ha presentado un creciente aumento en los últimos 5 años:</w:t>
      </w:r>
    </w:p>
    <w:p w14:paraId="667D6B3E" w14:textId="516F2B15" w:rsidR="007E7FBF" w:rsidRPr="001A3FFD" w:rsidRDefault="007E7FBF" w:rsidP="006C1B43">
      <w:pPr>
        <w:spacing w:before="120" w:after="120"/>
        <w:ind w:left="-567" w:right="-801"/>
        <w:jc w:val="center"/>
        <w:rPr>
          <w:rFonts w:ascii="Verdana" w:eastAsia="Verdana" w:hAnsi="Verdana" w:cs="Verdana"/>
          <w:sz w:val="20"/>
          <w:szCs w:val="20"/>
        </w:rPr>
      </w:pPr>
      <w:r w:rsidRPr="001A3FFD">
        <w:rPr>
          <w:rFonts w:ascii="Verdana" w:hAnsi="Verdana"/>
          <w:noProof/>
        </w:rPr>
        <w:drawing>
          <wp:inline distT="0" distB="0" distL="0" distR="0" wp14:anchorId="02229ECE" wp14:editId="4162975A">
            <wp:extent cx="6119588" cy="2653345"/>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8595" cy="2657250"/>
                    </a:xfrm>
                    <a:prstGeom prst="rect">
                      <a:avLst/>
                    </a:prstGeom>
                  </pic:spPr>
                </pic:pic>
              </a:graphicData>
            </a:graphic>
          </wp:inline>
        </w:drawing>
      </w:r>
    </w:p>
    <w:p w14:paraId="6B7C28F9" w14:textId="77777777" w:rsidR="008C5551" w:rsidRPr="001A3FFD" w:rsidRDefault="008C5551" w:rsidP="008C5551">
      <w:pPr>
        <w:spacing w:before="120" w:after="120"/>
        <w:ind w:left="-851" w:right="-801"/>
        <w:jc w:val="center"/>
        <w:rPr>
          <w:rFonts w:ascii="Verdana" w:eastAsia="Verdana" w:hAnsi="Verdana" w:cs="Verdana"/>
          <w:i/>
          <w:iCs/>
          <w:sz w:val="16"/>
          <w:szCs w:val="16"/>
        </w:rPr>
      </w:pPr>
      <w:r w:rsidRPr="001A3FFD">
        <w:rPr>
          <w:rFonts w:ascii="Verdana" w:eastAsia="Verdana" w:hAnsi="Verdana" w:cs="Verdana"/>
          <w:i/>
          <w:iCs/>
          <w:sz w:val="16"/>
          <w:szCs w:val="16"/>
        </w:rPr>
        <w:t>Fuente: Agencia Nacional de Contratación Pública – Colombia Compra Eficiente</w:t>
      </w:r>
    </w:p>
    <w:p w14:paraId="4F995BBF" w14:textId="6A47AC3F" w:rsidR="008C5551" w:rsidRPr="001A3FFD" w:rsidRDefault="008C5551" w:rsidP="00710A8F">
      <w:pPr>
        <w:spacing w:before="120" w:after="120"/>
        <w:ind w:left="-567" w:right="-801"/>
        <w:jc w:val="both"/>
        <w:rPr>
          <w:rFonts w:ascii="Verdana" w:eastAsia="Verdana" w:hAnsi="Verdana" w:cs="Verdana"/>
          <w:sz w:val="20"/>
          <w:szCs w:val="20"/>
        </w:rPr>
      </w:pPr>
      <w:r w:rsidRPr="001A3FFD">
        <w:rPr>
          <w:rFonts w:ascii="Verdana" w:eastAsia="Verdana" w:hAnsi="Verdana" w:cs="Verdana"/>
          <w:sz w:val="20"/>
          <w:szCs w:val="20"/>
        </w:rPr>
        <w:lastRenderedPageBreak/>
        <w:t>El 2025 presentó el siguiente balance del volumen de contratación estatal:</w:t>
      </w:r>
    </w:p>
    <w:p w14:paraId="76355BED" w14:textId="4C1F1054" w:rsidR="008C5551" w:rsidRPr="001A3FFD" w:rsidRDefault="008C5551" w:rsidP="008C5551">
      <w:pPr>
        <w:spacing w:before="120" w:after="120"/>
        <w:ind w:left="-567" w:right="-801"/>
        <w:jc w:val="center"/>
        <w:rPr>
          <w:rFonts w:ascii="Verdana" w:eastAsia="Verdana" w:hAnsi="Verdana" w:cs="Verdana"/>
          <w:sz w:val="20"/>
          <w:szCs w:val="20"/>
        </w:rPr>
      </w:pPr>
      <w:r w:rsidRPr="001A3FFD">
        <w:rPr>
          <w:rFonts w:ascii="Verdana" w:hAnsi="Verdana"/>
          <w:noProof/>
        </w:rPr>
        <w:drawing>
          <wp:inline distT="0" distB="0" distL="0" distR="0" wp14:anchorId="371E3664" wp14:editId="0EBAEE5A">
            <wp:extent cx="5612130" cy="458470"/>
            <wp:effectExtent l="0" t="0" r="762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12130" cy="458470"/>
                    </a:xfrm>
                    <a:prstGeom prst="rect">
                      <a:avLst/>
                    </a:prstGeom>
                  </pic:spPr>
                </pic:pic>
              </a:graphicData>
            </a:graphic>
          </wp:inline>
        </w:drawing>
      </w:r>
    </w:p>
    <w:p w14:paraId="72F124BA" w14:textId="77777777" w:rsidR="008C5551" w:rsidRPr="001A3FFD" w:rsidRDefault="008C5551" w:rsidP="008C5551">
      <w:pPr>
        <w:spacing w:before="120" w:after="120"/>
        <w:ind w:left="-851" w:right="-801"/>
        <w:jc w:val="center"/>
        <w:rPr>
          <w:rFonts w:ascii="Verdana" w:eastAsia="Verdana" w:hAnsi="Verdana" w:cs="Verdana"/>
          <w:i/>
          <w:iCs/>
          <w:sz w:val="16"/>
          <w:szCs w:val="16"/>
        </w:rPr>
      </w:pPr>
      <w:r w:rsidRPr="001A3FFD">
        <w:rPr>
          <w:rFonts w:ascii="Verdana" w:eastAsia="Verdana" w:hAnsi="Verdana" w:cs="Verdana"/>
          <w:i/>
          <w:iCs/>
          <w:sz w:val="16"/>
          <w:szCs w:val="16"/>
        </w:rPr>
        <w:t>Fuente: Agencia Nacional de Contratación Pública – Colombia Compra Eficiente</w:t>
      </w:r>
    </w:p>
    <w:p w14:paraId="72250924" w14:textId="0E36C59C" w:rsidR="006C79C4" w:rsidRPr="001A3FFD" w:rsidRDefault="008C5551" w:rsidP="00951C68">
      <w:pPr>
        <w:spacing w:before="120" w:after="120"/>
        <w:ind w:left="-567" w:right="-801"/>
        <w:rPr>
          <w:rFonts w:ascii="Verdana" w:eastAsia="Verdana" w:hAnsi="Verdana" w:cs="Verdana"/>
          <w:sz w:val="20"/>
          <w:szCs w:val="20"/>
        </w:rPr>
      </w:pPr>
      <w:r w:rsidRPr="001A3FFD">
        <w:rPr>
          <w:rFonts w:ascii="Verdana" w:eastAsia="Verdana" w:hAnsi="Verdana" w:cs="Verdana"/>
          <w:sz w:val="20"/>
          <w:szCs w:val="20"/>
        </w:rPr>
        <w:t>Distribuidos de la siguiente manera:</w:t>
      </w:r>
    </w:p>
    <w:p w14:paraId="6647BC26" w14:textId="5312C9C0" w:rsidR="008C5551" w:rsidRPr="001A3FFD" w:rsidRDefault="008C5551" w:rsidP="008C5551">
      <w:pPr>
        <w:spacing w:before="120" w:after="120"/>
        <w:ind w:left="-851" w:right="-801"/>
        <w:jc w:val="center"/>
        <w:rPr>
          <w:rFonts w:ascii="Verdana" w:eastAsia="Verdana" w:hAnsi="Verdana" w:cs="Verdana"/>
          <w:sz w:val="20"/>
          <w:szCs w:val="20"/>
        </w:rPr>
      </w:pPr>
      <w:r w:rsidRPr="001A3FFD">
        <w:rPr>
          <w:rFonts w:ascii="Verdana" w:hAnsi="Verdana"/>
          <w:noProof/>
        </w:rPr>
        <w:drawing>
          <wp:inline distT="0" distB="0" distL="0" distR="0" wp14:anchorId="14E0BE2F" wp14:editId="5714152A">
            <wp:extent cx="5612130" cy="1649730"/>
            <wp:effectExtent l="0" t="0" r="7620" b="762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12130" cy="1649730"/>
                    </a:xfrm>
                    <a:prstGeom prst="rect">
                      <a:avLst/>
                    </a:prstGeom>
                  </pic:spPr>
                </pic:pic>
              </a:graphicData>
            </a:graphic>
          </wp:inline>
        </w:drawing>
      </w:r>
    </w:p>
    <w:p w14:paraId="12D2AC9C" w14:textId="511905A1" w:rsidR="008C5551" w:rsidRPr="001A3FFD" w:rsidRDefault="008C5551" w:rsidP="008C5551">
      <w:pPr>
        <w:spacing w:before="120" w:after="120"/>
        <w:ind w:left="-851" w:right="-801"/>
        <w:jc w:val="center"/>
        <w:rPr>
          <w:rFonts w:ascii="Verdana" w:eastAsia="Verdana" w:hAnsi="Verdana" w:cs="Verdana"/>
          <w:i/>
          <w:iCs/>
          <w:sz w:val="16"/>
          <w:szCs w:val="16"/>
        </w:rPr>
      </w:pPr>
      <w:r w:rsidRPr="001A3FFD">
        <w:rPr>
          <w:rFonts w:ascii="Verdana" w:eastAsia="Verdana" w:hAnsi="Verdana" w:cs="Verdana"/>
          <w:i/>
          <w:iCs/>
          <w:sz w:val="16"/>
          <w:szCs w:val="16"/>
        </w:rPr>
        <w:t>Fuente: Agencia Nacional de Contratación Pública – Colombia Compra Eficiente</w:t>
      </w:r>
    </w:p>
    <w:p w14:paraId="014A6734" w14:textId="77777777" w:rsidR="008C5551" w:rsidRPr="001A3FFD" w:rsidRDefault="008C5551" w:rsidP="00951C68">
      <w:pPr>
        <w:spacing w:before="120" w:after="120"/>
        <w:ind w:left="-567" w:right="-801"/>
        <w:jc w:val="both"/>
        <w:rPr>
          <w:rFonts w:ascii="Verdana" w:eastAsia="Verdana" w:hAnsi="Verdana" w:cs="Verdana"/>
          <w:sz w:val="20"/>
          <w:szCs w:val="20"/>
        </w:rPr>
      </w:pPr>
      <w:r w:rsidRPr="001A3FFD">
        <w:rPr>
          <w:rFonts w:ascii="Verdana" w:eastAsia="Verdana" w:hAnsi="Verdana" w:cs="Verdana"/>
          <w:sz w:val="20"/>
          <w:szCs w:val="20"/>
        </w:rPr>
        <w:t xml:space="preserve">Los datos anteriormente mencionados muestran un contexto con un número de </w:t>
      </w:r>
      <w:r w:rsidR="006C79C4" w:rsidRPr="001A3FFD">
        <w:rPr>
          <w:rFonts w:ascii="Verdana" w:eastAsia="Verdana" w:hAnsi="Verdana" w:cs="Verdana"/>
          <w:sz w:val="20"/>
          <w:szCs w:val="20"/>
        </w:rPr>
        <w:t>proveedores</w:t>
      </w:r>
      <w:r w:rsidRPr="001A3FFD">
        <w:rPr>
          <w:rFonts w:ascii="Verdana" w:eastAsia="Verdana" w:hAnsi="Verdana" w:cs="Verdana"/>
          <w:sz w:val="20"/>
          <w:szCs w:val="20"/>
        </w:rPr>
        <w:t xml:space="preserve"> a</w:t>
      </w:r>
      <w:r w:rsidR="006C79C4" w:rsidRPr="001A3FFD">
        <w:rPr>
          <w:rFonts w:ascii="Verdana" w:eastAsia="Verdana" w:hAnsi="Verdana" w:cs="Verdana"/>
          <w:sz w:val="20"/>
          <w:szCs w:val="20"/>
        </w:rPr>
        <w:t xml:space="preserve">lto, se identifica que existen en el mercado gran cantidad de </w:t>
      </w:r>
      <w:r w:rsidRPr="001A3FFD">
        <w:rPr>
          <w:rFonts w:ascii="Verdana" w:eastAsia="Verdana" w:hAnsi="Verdana" w:cs="Verdana"/>
          <w:sz w:val="20"/>
          <w:szCs w:val="20"/>
        </w:rPr>
        <w:t>e</w:t>
      </w:r>
      <w:r w:rsidR="006C79C4" w:rsidRPr="001A3FFD">
        <w:rPr>
          <w:rFonts w:ascii="Verdana" w:eastAsia="Verdana" w:hAnsi="Verdana" w:cs="Verdana"/>
          <w:sz w:val="20"/>
          <w:szCs w:val="20"/>
        </w:rPr>
        <w:t>ntidades que pueden ejecutar proyectos del sector, razón por la cual el presupuesto de este ha sido distribuido y no se evidencia una gran concentración en uno solo.</w:t>
      </w:r>
    </w:p>
    <w:p w14:paraId="368AABB7" w14:textId="074DC58B" w:rsidR="006C79C4" w:rsidRDefault="008C5551" w:rsidP="00951C68">
      <w:pPr>
        <w:spacing w:before="120" w:after="120"/>
        <w:ind w:left="-567" w:right="-801"/>
        <w:jc w:val="both"/>
        <w:rPr>
          <w:rFonts w:ascii="Verdana" w:eastAsia="Verdana" w:hAnsi="Verdana" w:cs="Verdana"/>
          <w:sz w:val="20"/>
          <w:szCs w:val="20"/>
        </w:rPr>
      </w:pPr>
      <w:r w:rsidRPr="001A3FFD">
        <w:rPr>
          <w:rFonts w:ascii="Verdana" w:eastAsia="Verdana" w:hAnsi="Verdana" w:cs="Verdana"/>
          <w:sz w:val="20"/>
          <w:szCs w:val="20"/>
        </w:rPr>
        <w:t xml:space="preserve">De allí que, se </w:t>
      </w:r>
      <w:r w:rsidR="006C79C4" w:rsidRPr="001A3FFD">
        <w:rPr>
          <w:rFonts w:ascii="Verdana" w:eastAsia="Verdana" w:hAnsi="Verdana" w:cs="Verdana"/>
          <w:sz w:val="20"/>
          <w:szCs w:val="20"/>
        </w:rPr>
        <w:t>pued</w:t>
      </w:r>
      <w:r w:rsidRPr="001A3FFD">
        <w:rPr>
          <w:rFonts w:ascii="Verdana" w:eastAsia="Verdana" w:hAnsi="Verdana" w:cs="Verdana"/>
          <w:sz w:val="20"/>
          <w:szCs w:val="20"/>
        </w:rPr>
        <w:t xml:space="preserve">a </w:t>
      </w:r>
      <w:r w:rsidR="006C79C4" w:rsidRPr="001A3FFD">
        <w:rPr>
          <w:rFonts w:ascii="Verdana" w:eastAsia="Verdana" w:hAnsi="Verdana" w:cs="Verdana"/>
          <w:sz w:val="20"/>
          <w:szCs w:val="20"/>
        </w:rPr>
        <w:t xml:space="preserve">evidenciar </w:t>
      </w:r>
      <w:r w:rsidRPr="001A3FFD">
        <w:rPr>
          <w:rFonts w:ascii="Verdana" w:eastAsia="Verdana" w:hAnsi="Verdana" w:cs="Verdana"/>
          <w:sz w:val="20"/>
          <w:szCs w:val="20"/>
        </w:rPr>
        <w:t xml:space="preserve">en el gráfico a continuación </w:t>
      </w:r>
      <w:r w:rsidR="006C79C4" w:rsidRPr="001A3FFD">
        <w:rPr>
          <w:rFonts w:ascii="Verdana" w:eastAsia="Verdana" w:hAnsi="Verdana" w:cs="Verdana"/>
          <w:sz w:val="20"/>
          <w:szCs w:val="20"/>
        </w:rPr>
        <w:t>que</w:t>
      </w:r>
      <w:r w:rsidRPr="001A3FFD">
        <w:rPr>
          <w:rFonts w:ascii="Verdana" w:eastAsia="Verdana" w:hAnsi="Verdana" w:cs="Verdana"/>
          <w:sz w:val="20"/>
          <w:szCs w:val="20"/>
        </w:rPr>
        <w:t>,</w:t>
      </w:r>
      <w:r w:rsidR="006C79C4" w:rsidRPr="001A3FFD">
        <w:rPr>
          <w:rFonts w:ascii="Verdana" w:eastAsia="Verdana" w:hAnsi="Verdana" w:cs="Verdana"/>
          <w:sz w:val="20"/>
          <w:szCs w:val="20"/>
        </w:rPr>
        <w:t xml:space="preserve"> </w:t>
      </w:r>
      <w:r w:rsidR="002D0E43">
        <w:rPr>
          <w:rFonts w:ascii="Verdana" w:eastAsia="Verdana" w:hAnsi="Verdana" w:cs="Verdana"/>
          <w:b/>
          <w:bCs/>
          <w:sz w:val="20"/>
          <w:szCs w:val="20"/>
        </w:rPr>
        <w:t>LA OPIAC</w:t>
      </w:r>
      <w:r w:rsidR="006C79C4" w:rsidRPr="001A3FFD">
        <w:rPr>
          <w:rFonts w:ascii="Verdana" w:eastAsia="Verdana" w:hAnsi="Verdana" w:cs="Verdana"/>
          <w:sz w:val="20"/>
          <w:szCs w:val="20"/>
        </w:rPr>
        <w:t>, cuenta con experiencia en el sector, encontrando que ha ejecutado convenios y contratos con objetos similares según la información suministrada por el modelo de abastecimiento estratégico MAE:</w:t>
      </w:r>
    </w:p>
    <w:p w14:paraId="4DA02569" w14:textId="13C804AA" w:rsidR="00F5063D" w:rsidRDefault="00F5063D" w:rsidP="00951C68">
      <w:pPr>
        <w:spacing w:before="120" w:after="120"/>
        <w:ind w:left="-567" w:right="-801"/>
        <w:jc w:val="both"/>
        <w:rPr>
          <w:rFonts w:ascii="Verdana" w:eastAsia="Verdana" w:hAnsi="Verdana" w:cs="Verdana"/>
          <w:sz w:val="20"/>
          <w:szCs w:val="20"/>
        </w:rPr>
      </w:pPr>
    </w:p>
    <w:p w14:paraId="7B67A739" w14:textId="50997088" w:rsidR="00F5063D" w:rsidRDefault="00F5063D" w:rsidP="00F5063D">
      <w:pPr>
        <w:spacing w:before="120" w:after="120"/>
        <w:ind w:left="-567" w:right="-801"/>
        <w:jc w:val="center"/>
        <w:rPr>
          <w:rFonts w:ascii="Verdana" w:eastAsia="Verdana" w:hAnsi="Verdana" w:cs="Verdana"/>
          <w:sz w:val="20"/>
          <w:szCs w:val="20"/>
        </w:rPr>
      </w:pPr>
      <w:r>
        <w:rPr>
          <w:noProof/>
        </w:rPr>
        <w:drawing>
          <wp:inline distT="0" distB="0" distL="0" distR="0" wp14:anchorId="7F77C638" wp14:editId="0CDE8B7A">
            <wp:extent cx="5612130" cy="422910"/>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12130" cy="422910"/>
                    </a:xfrm>
                    <a:prstGeom prst="rect">
                      <a:avLst/>
                    </a:prstGeom>
                  </pic:spPr>
                </pic:pic>
              </a:graphicData>
            </a:graphic>
          </wp:inline>
        </w:drawing>
      </w:r>
    </w:p>
    <w:p w14:paraId="297EE780" w14:textId="31139F3F" w:rsidR="00F5063D" w:rsidRDefault="00F5063D" w:rsidP="00F5063D">
      <w:pPr>
        <w:spacing w:before="120" w:after="120"/>
        <w:ind w:left="-567" w:right="-801"/>
        <w:jc w:val="center"/>
        <w:rPr>
          <w:rFonts w:ascii="Verdana" w:eastAsia="Verdana" w:hAnsi="Verdana" w:cs="Verdana"/>
          <w:sz w:val="20"/>
          <w:szCs w:val="20"/>
        </w:rPr>
      </w:pPr>
      <w:r>
        <w:rPr>
          <w:noProof/>
        </w:rPr>
        <w:drawing>
          <wp:inline distT="0" distB="0" distL="0" distR="0" wp14:anchorId="031B856D" wp14:editId="4CFD6B8B">
            <wp:extent cx="5612130" cy="1636395"/>
            <wp:effectExtent l="0" t="0" r="7620"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12130" cy="1636395"/>
                    </a:xfrm>
                    <a:prstGeom prst="rect">
                      <a:avLst/>
                    </a:prstGeom>
                  </pic:spPr>
                </pic:pic>
              </a:graphicData>
            </a:graphic>
          </wp:inline>
        </w:drawing>
      </w:r>
    </w:p>
    <w:p w14:paraId="58D0EF01" w14:textId="6622DC9D" w:rsidR="00F5063D" w:rsidRPr="001A3FFD" w:rsidRDefault="00F5063D" w:rsidP="00F5063D">
      <w:pPr>
        <w:spacing w:before="120" w:after="120"/>
        <w:ind w:left="-567" w:right="-801"/>
        <w:jc w:val="center"/>
        <w:rPr>
          <w:rFonts w:ascii="Verdana" w:eastAsia="Verdana" w:hAnsi="Verdana" w:cs="Verdana"/>
          <w:sz w:val="20"/>
          <w:szCs w:val="20"/>
        </w:rPr>
      </w:pPr>
      <w:r>
        <w:rPr>
          <w:noProof/>
        </w:rPr>
        <w:lastRenderedPageBreak/>
        <w:drawing>
          <wp:inline distT="0" distB="0" distL="0" distR="0" wp14:anchorId="6276647A" wp14:editId="4ABEFAC6">
            <wp:extent cx="5612130" cy="2470150"/>
            <wp:effectExtent l="0" t="0" r="7620"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12130" cy="2470150"/>
                    </a:xfrm>
                    <a:prstGeom prst="rect">
                      <a:avLst/>
                    </a:prstGeom>
                  </pic:spPr>
                </pic:pic>
              </a:graphicData>
            </a:graphic>
          </wp:inline>
        </w:drawing>
      </w:r>
    </w:p>
    <w:p w14:paraId="0647F222" w14:textId="15DF3E9D" w:rsidR="006C79C4" w:rsidRPr="00F5063D" w:rsidRDefault="00F5063D" w:rsidP="00F5063D">
      <w:pPr>
        <w:spacing w:before="120" w:after="120"/>
        <w:ind w:left="-851" w:right="-801"/>
        <w:jc w:val="center"/>
        <w:rPr>
          <w:rFonts w:ascii="Verdana" w:eastAsia="Verdana" w:hAnsi="Verdana" w:cs="Verdana"/>
          <w:i/>
          <w:iCs/>
          <w:sz w:val="16"/>
          <w:szCs w:val="16"/>
        </w:rPr>
      </w:pPr>
      <w:r w:rsidRPr="001A3FFD">
        <w:rPr>
          <w:rFonts w:ascii="Verdana" w:eastAsia="Verdana" w:hAnsi="Verdana" w:cs="Verdana"/>
          <w:i/>
          <w:iCs/>
          <w:sz w:val="16"/>
          <w:szCs w:val="16"/>
        </w:rPr>
        <w:t>Fuente: Agencia Nacional de Contratación Pública – Colombia Compra Eficiente</w:t>
      </w:r>
      <w:r w:rsidR="008C5551" w:rsidRPr="001A3FFD">
        <w:rPr>
          <w:rFonts w:ascii="Verdana" w:hAnsi="Verdana"/>
          <w:noProof/>
        </w:rPr>
        <w:t xml:space="preserve"> </w:t>
      </w:r>
    </w:p>
    <w:p w14:paraId="4BE7E90E" w14:textId="77777777" w:rsidR="00F5063D" w:rsidRPr="00F5063D" w:rsidRDefault="00F5063D" w:rsidP="00F5063D">
      <w:pPr>
        <w:pStyle w:val="NormalWeb"/>
        <w:ind w:left="-567" w:right="-801"/>
        <w:jc w:val="both"/>
        <w:rPr>
          <w:rFonts w:ascii="Verdana" w:eastAsia="Verdana" w:hAnsi="Verdana" w:cs="Verdana"/>
          <w:sz w:val="20"/>
          <w:szCs w:val="20"/>
          <w:lang w:eastAsia="es-MX"/>
        </w:rPr>
      </w:pPr>
      <w:r w:rsidRPr="00F5063D">
        <w:rPr>
          <w:rFonts w:ascii="Verdana" w:eastAsia="Verdana" w:hAnsi="Verdana" w:cs="Verdana"/>
          <w:sz w:val="20"/>
          <w:szCs w:val="20"/>
          <w:lang w:eastAsia="es-MX"/>
        </w:rPr>
        <w:t xml:space="preserve">Del análisis de la información suministrada por la Agencia Nacional de Contratación Pública – Colombia Compra Eficiente, se evidencia que la Organización Nacional de los Pueblos Indígenas de la Amazonía Colombiana – OPIAC cuenta con experiencia relevante en el sector, registrando un valor total estimado de contratación de </w:t>
      </w:r>
      <w:r w:rsidRPr="00F5063D">
        <w:rPr>
          <w:rFonts w:ascii="Verdana" w:eastAsia="Verdana" w:hAnsi="Verdana" w:cs="Verdana"/>
          <w:b/>
          <w:bCs/>
          <w:sz w:val="20"/>
          <w:szCs w:val="20"/>
          <w:lang w:eastAsia="es-MX"/>
        </w:rPr>
        <w:t>$17,89 mil millones</w:t>
      </w:r>
      <w:r w:rsidRPr="00F5063D">
        <w:rPr>
          <w:rFonts w:ascii="Verdana" w:eastAsia="Verdana" w:hAnsi="Verdana" w:cs="Verdana"/>
          <w:sz w:val="20"/>
          <w:szCs w:val="20"/>
          <w:lang w:eastAsia="es-MX"/>
        </w:rPr>
        <w:t xml:space="preserve">, correspondiente a la ejecución de </w:t>
      </w:r>
      <w:r w:rsidRPr="00F5063D">
        <w:rPr>
          <w:rFonts w:ascii="Verdana" w:eastAsia="Verdana" w:hAnsi="Verdana" w:cs="Verdana"/>
          <w:b/>
          <w:bCs/>
          <w:sz w:val="20"/>
          <w:szCs w:val="20"/>
          <w:lang w:eastAsia="es-MX"/>
        </w:rPr>
        <w:t>12 contratos</w:t>
      </w:r>
      <w:r w:rsidRPr="00F5063D">
        <w:rPr>
          <w:rFonts w:ascii="Verdana" w:eastAsia="Verdana" w:hAnsi="Verdana" w:cs="Verdana"/>
          <w:sz w:val="20"/>
          <w:szCs w:val="20"/>
          <w:lang w:eastAsia="es-MX"/>
        </w:rPr>
        <w:t xml:space="preserve">, lo que demuestra una trayectoria sostenida en la gestión y ejecución de recursos públicos. Asimismo, los datos muestran que, si bien el mercado presenta un número significativo de proveedores, no se evidencia una concentración excesiva del gasto en un solo actor, lo cual sitúa la participación de OPIAC dentro de un contexto competitivo y acorde con la dinámica del sector. En particular, durante la vigencia 2025 se observa un incremento significativo en el volumen de contratación estatal, alcanzando aproximadamente </w:t>
      </w:r>
      <w:r w:rsidRPr="00F5063D">
        <w:rPr>
          <w:rFonts w:ascii="Verdana" w:eastAsia="Verdana" w:hAnsi="Verdana" w:cs="Verdana"/>
          <w:b/>
          <w:bCs/>
          <w:sz w:val="20"/>
          <w:szCs w:val="20"/>
          <w:lang w:eastAsia="es-MX"/>
        </w:rPr>
        <w:t>$9,4 mil millones</w:t>
      </w:r>
      <w:r w:rsidRPr="00F5063D">
        <w:rPr>
          <w:rFonts w:ascii="Verdana" w:eastAsia="Verdana" w:hAnsi="Verdana" w:cs="Verdana"/>
          <w:sz w:val="20"/>
          <w:szCs w:val="20"/>
          <w:lang w:eastAsia="es-MX"/>
        </w:rPr>
        <w:t>, lo que refleja un fortalecimiento de la demanda y la capacidad operativa de las organizaciones que participan en este tipo de proyectos, entre ellas OPIAC, cuya experiencia resulta coherente con los objetos contractuales analizados.</w:t>
      </w:r>
    </w:p>
    <w:p w14:paraId="18EC2117" w14:textId="5985011D" w:rsidR="00E35059" w:rsidRPr="001A3FFD" w:rsidRDefault="00D10E49" w:rsidP="00DD2282">
      <w:pPr>
        <w:pStyle w:val="Prrafodelista"/>
        <w:numPr>
          <w:ilvl w:val="1"/>
          <w:numId w:val="4"/>
        </w:numPr>
        <w:spacing w:after="240"/>
        <w:ind w:left="-142" w:right="-801"/>
        <w:jc w:val="both"/>
        <w:rPr>
          <w:rFonts w:ascii="Verdana" w:eastAsia="Verdana" w:hAnsi="Verdana" w:cs="Verdana"/>
          <w:b/>
          <w:bCs/>
          <w:sz w:val="20"/>
          <w:szCs w:val="20"/>
        </w:rPr>
      </w:pPr>
      <w:r w:rsidRPr="001A3FFD">
        <w:rPr>
          <w:rFonts w:ascii="Verdana" w:eastAsia="Verdana" w:hAnsi="Verdana" w:cs="Verdana"/>
          <w:b/>
          <w:bCs/>
          <w:sz w:val="20"/>
          <w:szCs w:val="20"/>
        </w:rPr>
        <w:t xml:space="preserve">ANÁLISIS DE </w:t>
      </w:r>
      <w:r w:rsidR="00E35059" w:rsidRPr="001A3FFD">
        <w:rPr>
          <w:rFonts w:ascii="Verdana" w:eastAsia="Verdana" w:hAnsi="Verdana" w:cs="Verdana"/>
          <w:b/>
          <w:bCs/>
          <w:sz w:val="20"/>
          <w:szCs w:val="20"/>
        </w:rPr>
        <w:t>LA PROPUESTA</w:t>
      </w:r>
    </w:p>
    <w:p w14:paraId="56FF87BC" w14:textId="73161E77" w:rsidR="00BE3B2F" w:rsidRDefault="1928AC98" w:rsidP="001A3A0E">
      <w:pPr>
        <w:pStyle w:val="paragraph"/>
        <w:ind w:left="-567" w:right="-801"/>
        <w:jc w:val="both"/>
        <w:textAlignment w:val="baseline"/>
        <w:rPr>
          <w:rFonts w:ascii="Verdana" w:eastAsia="Verdana" w:hAnsi="Verdana" w:cs="Verdana"/>
          <w:sz w:val="20"/>
          <w:szCs w:val="20"/>
        </w:rPr>
      </w:pPr>
      <w:r w:rsidRPr="1928AC98">
        <w:rPr>
          <w:rFonts w:ascii="Verdana" w:eastAsiaTheme="minorEastAsia" w:hAnsi="Verdana" w:cstheme="minorBidi"/>
          <w:b/>
          <w:bCs/>
          <w:sz w:val="20"/>
          <w:szCs w:val="20"/>
        </w:rPr>
        <w:t>Proveedores identificados:</w:t>
      </w:r>
      <w:r w:rsidRPr="1928AC98">
        <w:rPr>
          <w:rFonts w:ascii="Verdana" w:eastAsiaTheme="minorEastAsia" w:hAnsi="Verdana" w:cstheme="minorBidi"/>
          <w:sz w:val="20"/>
          <w:szCs w:val="20"/>
        </w:rPr>
        <w:t xml:space="preserve"> </w:t>
      </w:r>
      <w:r w:rsidRPr="1928AC98">
        <w:rPr>
          <w:rFonts w:ascii="Verdana" w:eastAsia="Verdana" w:hAnsi="Verdana" w:cs="Verdana"/>
          <w:sz w:val="20"/>
          <w:szCs w:val="20"/>
        </w:rPr>
        <w:t>Como se ha establecido en los documentos de estudios previos y en el marco normativo vigente, la modalidad de selección del proponente corresponde a contratación directa, de conformidad con el artículo 2º de la Ley 1150 de 2007. El literal l) del numeral 4 establece expresamente que procede esta modalidad cuando se trate de:</w:t>
      </w:r>
    </w:p>
    <w:p w14:paraId="47CC20A1" w14:textId="77777777" w:rsidR="00BE3B2F" w:rsidRDefault="00BE3B2F" w:rsidP="00BE3B2F">
      <w:pPr>
        <w:pStyle w:val="NormalWeb"/>
        <w:ind w:left="-567" w:right="-801"/>
        <w:jc w:val="both"/>
        <w:rPr>
          <w:rFonts w:ascii="Verdana" w:eastAsia="Verdana" w:hAnsi="Verdana" w:cs="Verdana"/>
          <w:sz w:val="20"/>
          <w:szCs w:val="20"/>
        </w:rPr>
      </w:pPr>
      <w:r w:rsidRPr="00BE3B2F">
        <w:rPr>
          <w:rFonts w:ascii="Verdana" w:eastAsia="Verdana" w:hAnsi="Verdana" w:cs="Verdana"/>
          <w:i/>
          <w:iCs/>
          <w:sz w:val="20"/>
          <w:szCs w:val="20"/>
        </w:rPr>
        <w:t xml:space="preserve">“Los contratos o convenios que las entidades estatales suscriban con los Cabildos Indígenas, las asociaciones de Cabildos Indígenas y/o Autoridades Tradicionales Indígenas, Consejos Indígenas y Organizaciones Indígenas con capacidad para contratar cuyo objeto esté relacionado con la ejecución de programas, planes y proyectos del plan de desarrollo relacionados con el fortalecimiento del gobierno propio, la identidad cultural, el ejercicio de la autonomía, la garantía de los derechos, satisfacción de necesidades y/o servicios públicos de los pueblos y comunidades indígenas. En el marco de dichos objetos se contemplará la ejecución de obras públicas que impliquen actividades de mantenimiento y/o mejoramiento de infraestructura social y de transporte, así como suministrar </w:t>
      </w:r>
      <w:r w:rsidRPr="00BE3B2F">
        <w:rPr>
          <w:rFonts w:ascii="Verdana" w:eastAsia="Verdana" w:hAnsi="Verdana" w:cs="Verdana"/>
          <w:i/>
          <w:iCs/>
          <w:sz w:val="20"/>
          <w:szCs w:val="20"/>
        </w:rPr>
        <w:lastRenderedPageBreak/>
        <w:t>bienes y/o servicios para los que se acredite idoneidad, la cual deberá ser valorada teniendo en cuenta un enfoque diferencial”.</w:t>
      </w:r>
      <w:r w:rsidRPr="00BE3B2F">
        <w:rPr>
          <w:rFonts w:ascii="Verdana" w:eastAsia="Verdana" w:hAnsi="Verdana" w:cs="Verdana"/>
          <w:sz w:val="20"/>
          <w:szCs w:val="20"/>
        </w:rPr>
        <w:t> </w:t>
      </w:r>
    </w:p>
    <w:p w14:paraId="6B1B1814" w14:textId="77777777" w:rsidR="00BE3B2F" w:rsidRDefault="00BE3B2F" w:rsidP="00BE3B2F">
      <w:pPr>
        <w:spacing w:after="240"/>
        <w:ind w:left="-574" w:right="-801"/>
        <w:jc w:val="both"/>
        <w:rPr>
          <w:rFonts w:ascii="Verdana" w:eastAsia="Verdana" w:hAnsi="Verdana" w:cs="Verdana"/>
          <w:sz w:val="20"/>
          <w:szCs w:val="20"/>
          <w:lang w:eastAsia="es-CO"/>
        </w:rPr>
      </w:pPr>
      <w:r w:rsidRPr="00BE3B2F">
        <w:rPr>
          <w:rFonts w:ascii="Verdana" w:eastAsia="Verdana" w:hAnsi="Verdana" w:cs="Verdana"/>
          <w:sz w:val="20"/>
          <w:szCs w:val="20"/>
          <w:lang w:eastAsia="es-CO"/>
        </w:rPr>
        <w:t>Se consideró que la entidad proponente debía presentar una propuesta financiera y técnica integral, enmarcada en los lineamientos del Ministerio de las Culturas, las Artes y los Saberes, que garantizara el cumplimiento del objeto del contrato.</w:t>
      </w:r>
    </w:p>
    <w:p w14:paraId="565F6E41" w14:textId="2615A0F0" w:rsidR="00BE3B2F" w:rsidRDefault="00BE3B2F" w:rsidP="00BE3B2F">
      <w:pPr>
        <w:spacing w:after="240"/>
        <w:ind w:left="-574" w:right="-801"/>
        <w:jc w:val="both"/>
        <w:rPr>
          <w:rFonts w:ascii="Verdana" w:eastAsia="Verdana" w:hAnsi="Verdana" w:cs="Verdana"/>
          <w:sz w:val="20"/>
          <w:szCs w:val="20"/>
        </w:rPr>
      </w:pPr>
      <w:r w:rsidRPr="00BE3B2F">
        <w:rPr>
          <w:rFonts w:ascii="Verdana" w:eastAsia="Verdana" w:hAnsi="Verdana" w:cs="Verdana"/>
          <w:sz w:val="20"/>
          <w:szCs w:val="20"/>
        </w:rPr>
        <w:t>En ese sentido se revisó que la propuesta estuviera conforme a las condiciones de la Dirección de Patrimonio y Memoria; que</w:t>
      </w:r>
      <w:r>
        <w:rPr>
          <w:rFonts w:ascii="Verdana" w:eastAsia="Verdana" w:hAnsi="Verdana" w:cs="Verdana"/>
          <w:sz w:val="20"/>
          <w:szCs w:val="20"/>
        </w:rPr>
        <w:t xml:space="preserve"> </w:t>
      </w:r>
      <w:r w:rsidRPr="00BE3B2F">
        <w:rPr>
          <w:rFonts w:ascii="Verdana" w:eastAsia="Verdana" w:hAnsi="Verdana" w:cs="Verdana"/>
          <w:sz w:val="20"/>
          <w:szCs w:val="20"/>
        </w:rPr>
        <w:t>la contrapartida estuviera acorde con los históricos analizados y cumpliera además con lo especificado en la normativa correspondiente como el Decreto 252 de 2020; que  desde la idoneidad, esta organización estuviera institucionalmente comprometida con la manifestación cultural objeto del convenio; que  tuviera un énfasis en la salvaguardia de las prácticas y saberes tradicionales desde una perspectiva comunitaria y que  estuviera presenta la inclusión de aliados del ecosistema cultural local </w:t>
      </w:r>
      <w:r w:rsidRPr="00BE3B2F">
        <w:rPr>
          <w:rFonts w:ascii="Verdana" w:eastAsia="Verdana" w:hAnsi="Verdana" w:cs="Verdana"/>
          <w:i/>
          <w:iCs/>
          <w:sz w:val="20"/>
          <w:szCs w:val="20"/>
        </w:rPr>
        <w:t>(portadores, portadoras, sabedores etc.)</w:t>
      </w:r>
      <w:r w:rsidRPr="00BE3B2F">
        <w:rPr>
          <w:rFonts w:ascii="Verdana" w:eastAsia="Verdana" w:hAnsi="Verdana" w:cs="Verdana"/>
          <w:sz w:val="20"/>
          <w:szCs w:val="20"/>
        </w:rPr>
        <w:t>. </w:t>
      </w:r>
    </w:p>
    <w:p w14:paraId="1B933176" w14:textId="0EC5D3EA" w:rsidR="00DA6376" w:rsidRPr="001A3FFD" w:rsidRDefault="00DA6376" w:rsidP="00BE3B2F">
      <w:pPr>
        <w:spacing w:after="240"/>
        <w:ind w:left="-574" w:right="-801"/>
        <w:jc w:val="both"/>
        <w:rPr>
          <w:rFonts w:ascii="Verdana" w:eastAsia="Verdana" w:hAnsi="Verdana" w:cs="Verdana"/>
          <w:b/>
          <w:bCs/>
          <w:sz w:val="20"/>
          <w:szCs w:val="20"/>
        </w:rPr>
      </w:pPr>
      <w:r w:rsidRPr="001A3FFD">
        <w:rPr>
          <w:rFonts w:ascii="Verdana" w:eastAsia="Verdana" w:hAnsi="Verdana" w:cs="Verdana"/>
          <w:b/>
          <w:bCs/>
          <w:sz w:val="20"/>
          <w:szCs w:val="20"/>
        </w:rPr>
        <w:t>COMPONENTE 1. Evaluación, actualización y acciones de salvaguardia</w:t>
      </w:r>
    </w:p>
    <w:p w14:paraId="525BBCAB" w14:textId="77777777" w:rsidR="00DB56E1" w:rsidRDefault="00DA6376" w:rsidP="00DB56E1">
      <w:pPr>
        <w:spacing w:after="240"/>
        <w:ind w:left="-574" w:right="-801"/>
        <w:jc w:val="both"/>
        <w:rPr>
          <w:rFonts w:ascii="Verdana" w:eastAsia="Verdana" w:hAnsi="Verdana" w:cs="Verdana"/>
          <w:sz w:val="20"/>
          <w:szCs w:val="20"/>
        </w:rPr>
      </w:pPr>
      <w:r w:rsidRPr="001A3FFD">
        <w:rPr>
          <w:rFonts w:ascii="Verdana" w:eastAsia="Verdana" w:hAnsi="Verdana" w:cs="Verdana"/>
          <w:b/>
          <w:bCs/>
          <w:sz w:val="20"/>
          <w:szCs w:val="20"/>
        </w:rPr>
        <w:t>Objetivo:</w:t>
      </w:r>
      <w:r w:rsidRPr="001A3FFD">
        <w:rPr>
          <w:rFonts w:ascii="Verdana" w:eastAsia="Verdana" w:hAnsi="Verdana" w:cs="Verdana"/>
          <w:sz w:val="20"/>
          <w:szCs w:val="20"/>
        </w:rPr>
        <w:t xml:space="preserve"> </w:t>
      </w:r>
      <w:r w:rsidR="00DB56E1" w:rsidRPr="00DB56E1">
        <w:rPr>
          <w:rFonts w:ascii="Verdana" w:eastAsia="Verdana" w:hAnsi="Verdana" w:cs="Verdana"/>
          <w:sz w:val="20"/>
          <w:szCs w:val="20"/>
        </w:rPr>
        <w:t>Socializar y validar el Plan Integral Regional de Cultura con las comunidades indígenas de la región amazónica, en concertación con la MRA, con el propósito de garantizar la apropiación del documento frente a los sistemas de pensamiento, saberes, prácticas ancestrales y espacios de transmisión intergeneracional de los pueblos indígenas.</w:t>
      </w:r>
    </w:p>
    <w:p w14:paraId="5A84BC96" w14:textId="76ABB9EC" w:rsidR="00DA6376" w:rsidRDefault="00DB56E1" w:rsidP="00DB56E1">
      <w:pPr>
        <w:spacing w:after="240"/>
        <w:ind w:left="-574" w:right="-801"/>
        <w:jc w:val="both"/>
        <w:rPr>
          <w:rFonts w:ascii="Verdana" w:eastAsia="Verdana" w:hAnsi="Verdana" w:cs="Verdana"/>
          <w:b/>
          <w:bCs/>
          <w:sz w:val="20"/>
          <w:szCs w:val="20"/>
        </w:rPr>
      </w:pPr>
      <w:r>
        <w:rPr>
          <w:rFonts w:ascii="Verdana" w:eastAsia="Verdana" w:hAnsi="Verdana" w:cs="Verdana"/>
          <w:b/>
          <w:bCs/>
          <w:sz w:val="20"/>
          <w:szCs w:val="20"/>
        </w:rPr>
        <w:t>Etapas</w:t>
      </w:r>
      <w:r w:rsidR="00DA6376" w:rsidRPr="001A3FFD">
        <w:rPr>
          <w:rFonts w:ascii="Verdana" w:eastAsia="Verdana" w:hAnsi="Verdana" w:cs="Verdana"/>
          <w:b/>
          <w:bCs/>
          <w:sz w:val="20"/>
          <w:szCs w:val="20"/>
        </w:rPr>
        <w:t>:</w:t>
      </w:r>
    </w:p>
    <w:tbl>
      <w:tblPr>
        <w:tblW w:w="8638" w:type="dxa"/>
        <w:tblInd w:w="416" w:type="dxa"/>
        <w:tblLook w:val="0400" w:firstRow="0" w:lastRow="0" w:firstColumn="0" w:lastColumn="0" w:noHBand="0" w:noVBand="1"/>
      </w:tblPr>
      <w:tblGrid>
        <w:gridCol w:w="991"/>
        <w:gridCol w:w="1931"/>
        <w:gridCol w:w="5494"/>
        <w:gridCol w:w="222"/>
      </w:tblGrid>
      <w:tr w:rsidR="00DB56E1" w:rsidRPr="00DB56E1" w14:paraId="43722528" w14:textId="77777777" w:rsidTr="00DB56E1">
        <w:trPr>
          <w:gridAfter w:val="1"/>
          <w:trHeight w:val="480"/>
        </w:trPr>
        <w:tc>
          <w:tcPr>
            <w:tcW w:w="992" w:type="dxa"/>
            <w:vMerge w:val="restart"/>
            <w:tcBorders>
              <w:top w:val="single" w:sz="8" w:space="0" w:color="000000"/>
              <w:left w:val="single" w:sz="8" w:space="0" w:color="000000"/>
              <w:bottom w:val="single" w:sz="8" w:space="0" w:color="000000"/>
              <w:right w:val="nil"/>
            </w:tcBorders>
            <w:vAlign w:val="center"/>
          </w:tcPr>
          <w:p w14:paraId="22D4CB90" w14:textId="77777777" w:rsidR="00DB56E1" w:rsidRPr="00DB56E1" w:rsidRDefault="00DB56E1" w:rsidP="00DE680C">
            <w:pPr>
              <w:jc w:val="center"/>
              <w:rPr>
                <w:rFonts w:ascii="Verdana" w:eastAsia="Arial" w:hAnsi="Verdana" w:cs="Arial"/>
                <w:b/>
                <w:color w:val="000000"/>
                <w:sz w:val="16"/>
                <w:szCs w:val="16"/>
              </w:rPr>
            </w:pPr>
            <w:r w:rsidRPr="00DB56E1">
              <w:rPr>
                <w:rFonts w:ascii="Verdana" w:eastAsia="Arial" w:hAnsi="Verdana" w:cs="Arial"/>
                <w:b/>
                <w:color w:val="000000"/>
                <w:sz w:val="16"/>
                <w:szCs w:val="16"/>
              </w:rPr>
              <w:t>TIEMPO / MESES</w:t>
            </w:r>
          </w:p>
        </w:tc>
        <w:tc>
          <w:tcPr>
            <w:tcW w:w="1843" w:type="dxa"/>
            <w:vMerge w:val="restart"/>
            <w:tcBorders>
              <w:top w:val="single" w:sz="8" w:space="0" w:color="000000"/>
              <w:left w:val="single" w:sz="8" w:space="0" w:color="000000"/>
              <w:bottom w:val="single" w:sz="8" w:space="0" w:color="000000"/>
              <w:right w:val="single" w:sz="8" w:space="0" w:color="000000"/>
            </w:tcBorders>
            <w:vAlign w:val="center"/>
          </w:tcPr>
          <w:p w14:paraId="58921A32" w14:textId="77777777" w:rsidR="00DB56E1" w:rsidRPr="00DB56E1" w:rsidRDefault="00DB56E1" w:rsidP="00DE680C">
            <w:pPr>
              <w:jc w:val="center"/>
              <w:rPr>
                <w:rFonts w:ascii="Verdana" w:eastAsia="Arial" w:hAnsi="Verdana" w:cs="Arial"/>
                <w:b/>
                <w:color w:val="000000"/>
                <w:sz w:val="16"/>
                <w:szCs w:val="16"/>
              </w:rPr>
            </w:pPr>
            <w:r w:rsidRPr="00DB56E1">
              <w:rPr>
                <w:rFonts w:ascii="Verdana" w:eastAsia="Arial" w:hAnsi="Verdana" w:cs="Arial"/>
                <w:b/>
                <w:color w:val="000000"/>
                <w:sz w:val="16"/>
                <w:szCs w:val="16"/>
              </w:rPr>
              <w:t>ETAPA</w:t>
            </w:r>
          </w:p>
        </w:tc>
        <w:tc>
          <w:tcPr>
            <w:tcW w:w="5581" w:type="dxa"/>
            <w:vMerge w:val="restart"/>
            <w:tcBorders>
              <w:top w:val="single" w:sz="8" w:space="0" w:color="000000"/>
              <w:left w:val="single" w:sz="8" w:space="0" w:color="000000"/>
              <w:bottom w:val="single" w:sz="8" w:space="0" w:color="000000"/>
              <w:right w:val="single" w:sz="8" w:space="0" w:color="000000"/>
            </w:tcBorders>
            <w:vAlign w:val="center"/>
          </w:tcPr>
          <w:p w14:paraId="7803C38E" w14:textId="77777777" w:rsidR="00DB56E1" w:rsidRPr="00DB56E1" w:rsidRDefault="00DB56E1" w:rsidP="00DE680C">
            <w:pPr>
              <w:jc w:val="center"/>
              <w:rPr>
                <w:rFonts w:ascii="Verdana" w:eastAsia="Arial" w:hAnsi="Verdana" w:cs="Arial"/>
                <w:b/>
                <w:color w:val="000000"/>
                <w:sz w:val="16"/>
                <w:szCs w:val="16"/>
              </w:rPr>
            </w:pPr>
            <w:r w:rsidRPr="00DB56E1">
              <w:rPr>
                <w:rFonts w:ascii="Verdana" w:eastAsia="Arial" w:hAnsi="Verdana" w:cs="Arial"/>
                <w:b/>
                <w:color w:val="000000"/>
                <w:sz w:val="16"/>
                <w:szCs w:val="16"/>
              </w:rPr>
              <w:t>DESCRIPCIÓN</w:t>
            </w:r>
          </w:p>
        </w:tc>
      </w:tr>
      <w:tr w:rsidR="00DB56E1" w:rsidRPr="00DB56E1" w14:paraId="5DDF050F" w14:textId="77777777" w:rsidTr="00DB56E1">
        <w:trPr>
          <w:trHeight w:val="283"/>
        </w:trPr>
        <w:tc>
          <w:tcPr>
            <w:tcW w:w="992" w:type="dxa"/>
            <w:vMerge/>
            <w:tcBorders>
              <w:top w:val="single" w:sz="8" w:space="0" w:color="000000"/>
              <w:left w:val="single" w:sz="8" w:space="0" w:color="000000"/>
              <w:bottom w:val="single" w:sz="8" w:space="0" w:color="000000"/>
              <w:right w:val="nil"/>
            </w:tcBorders>
            <w:vAlign w:val="center"/>
          </w:tcPr>
          <w:p w14:paraId="0D085211" w14:textId="77777777" w:rsidR="00DB56E1" w:rsidRPr="00DB56E1" w:rsidRDefault="00DB56E1" w:rsidP="00DE680C">
            <w:pPr>
              <w:widowControl w:val="0"/>
              <w:pBdr>
                <w:top w:val="nil"/>
                <w:left w:val="nil"/>
                <w:bottom w:val="nil"/>
                <w:right w:val="nil"/>
                <w:between w:val="nil"/>
              </w:pBdr>
              <w:spacing w:line="276" w:lineRule="auto"/>
              <w:rPr>
                <w:rFonts w:ascii="Verdana" w:eastAsia="Arial" w:hAnsi="Verdana" w:cs="Arial"/>
                <w:b/>
                <w:color w:val="000000"/>
                <w:sz w:val="16"/>
                <w:szCs w:val="16"/>
              </w:rPr>
            </w:pPr>
          </w:p>
        </w:tc>
        <w:tc>
          <w:tcPr>
            <w:tcW w:w="1843" w:type="dxa"/>
            <w:vMerge/>
            <w:tcBorders>
              <w:top w:val="single" w:sz="8" w:space="0" w:color="000000"/>
              <w:left w:val="single" w:sz="8" w:space="0" w:color="000000"/>
              <w:bottom w:val="single" w:sz="8" w:space="0" w:color="000000"/>
              <w:right w:val="single" w:sz="8" w:space="0" w:color="000000"/>
            </w:tcBorders>
            <w:vAlign w:val="center"/>
          </w:tcPr>
          <w:p w14:paraId="1341042F" w14:textId="77777777" w:rsidR="00DB56E1" w:rsidRPr="00DB56E1" w:rsidRDefault="00DB56E1" w:rsidP="00DE680C">
            <w:pPr>
              <w:widowControl w:val="0"/>
              <w:pBdr>
                <w:top w:val="nil"/>
                <w:left w:val="nil"/>
                <w:bottom w:val="nil"/>
                <w:right w:val="nil"/>
                <w:between w:val="nil"/>
              </w:pBdr>
              <w:spacing w:line="276" w:lineRule="auto"/>
              <w:rPr>
                <w:rFonts w:ascii="Verdana" w:eastAsia="Arial" w:hAnsi="Verdana" w:cs="Arial"/>
                <w:b/>
                <w:color w:val="000000"/>
                <w:sz w:val="16"/>
                <w:szCs w:val="16"/>
              </w:rPr>
            </w:pPr>
          </w:p>
        </w:tc>
        <w:tc>
          <w:tcPr>
            <w:tcW w:w="5581" w:type="dxa"/>
            <w:vMerge/>
            <w:tcBorders>
              <w:top w:val="single" w:sz="8" w:space="0" w:color="000000"/>
              <w:left w:val="single" w:sz="8" w:space="0" w:color="000000"/>
              <w:bottom w:val="single" w:sz="8" w:space="0" w:color="000000"/>
              <w:right w:val="single" w:sz="8" w:space="0" w:color="000000"/>
            </w:tcBorders>
            <w:vAlign w:val="center"/>
          </w:tcPr>
          <w:p w14:paraId="404A46C8" w14:textId="77777777" w:rsidR="00DB56E1" w:rsidRPr="00DB56E1" w:rsidRDefault="00DB56E1" w:rsidP="00DE680C">
            <w:pPr>
              <w:widowControl w:val="0"/>
              <w:pBdr>
                <w:top w:val="nil"/>
                <w:left w:val="nil"/>
                <w:bottom w:val="nil"/>
                <w:right w:val="nil"/>
                <w:between w:val="nil"/>
              </w:pBdr>
              <w:spacing w:line="276" w:lineRule="auto"/>
              <w:rPr>
                <w:rFonts w:ascii="Verdana" w:eastAsia="Arial" w:hAnsi="Verdana" w:cs="Arial"/>
                <w:b/>
                <w:color w:val="000000"/>
                <w:sz w:val="16"/>
                <w:szCs w:val="16"/>
              </w:rPr>
            </w:pPr>
          </w:p>
        </w:tc>
        <w:tc>
          <w:tcPr>
            <w:tcW w:w="0" w:type="auto"/>
            <w:tcBorders>
              <w:top w:val="nil"/>
              <w:left w:val="nil"/>
              <w:bottom w:val="nil"/>
              <w:right w:val="nil"/>
            </w:tcBorders>
            <w:vAlign w:val="bottom"/>
          </w:tcPr>
          <w:p w14:paraId="7C8A39F9" w14:textId="77777777" w:rsidR="00DB56E1" w:rsidRPr="00DB56E1" w:rsidRDefault="00DB56E1" w:rsidP="00DE680C">
            <w:pPr>
              <w:jc w:val="center"/>
              <w:rPr>
                <w:rFonts w:ascii="Verdana" w:eastAsia="Calibri" w:hAnsi="Verdana" w:cs="Calibri"/>
                <w:b/>
                <w:color w:val="000000"/>
                <w:sz w:val="16"/>
                <w:szCs w:val="16"/>
              </w:rPr>
            </w:pPr>
          </w:p>
        </w:tc>
      </w:tr>
      <w:tr w:rsidR="00DB56E1" w:rsidRPr="00DB56E1" w14:paraId="12490E95" w14:textId="77777777" w:rsidTr="00DB56E1">
        <w:trPr>
          <w:trHeight w:val="2668"/>
        </w:trPr>
        <w:tc>
          <w:tcPr>
            <w:tcW w:w="992" w:type="dxa"/>
            <w:tcBorders>
              <w:top w:val="nil"/>
              <w:left w:val="single" w:sz="8" w:space="0" w:color="000000"/>
              <w:bottom w:val="nil"/>
              <w:right w:val="single" w:sz="8" w:space="0" w:color="000000"/>
            </w:tcBorders>
            <w:vAlign w:val="center"/>
          </w:tcPr>
          <w:p w14:paraId="4FD1F72D" w14:textId="77777777" w:rsidR="00DB56E1" w:rsidRPr="00DB56E1" w:rsidRDefault="00DB56E1" w:rsidP="00DE680C">
            <w:pPr>
              <w:jc w:val="center"/>
              <w:rPr>
                <w:rFonts w:ascii="Verdana" w:eastAsia="Arial" w:hAnsi="Verdana" w:cs="Arial"/>
                <w:b/>
                <w:color w:val="000000"/>
                <w:sz w:val="16"/>
                <w:szCs w:val="16"/>
              </w:rPr>
            </w:pPr>
            <w:r w:rsidRPr="00DB56E1">
              <w:rPr>
                <w:rFonts w:ascii="Verdana" w:eastAsia="Arial" w:hAnsi="Verdana" w:cs="Arial"/>
                <w:b/>
                <w:color w:val="000000"/>
                <w:sz w:val="16"/>
                <w:szCs w:val="16"/>
              </w:rPr>
              <w:t>1</w:t>
            </w:r>
          </w:p>
        </w:tc>
        <w:tc>
          <w:tcPr>
            <w:tcW w:w="1843" w:type="dxa"/>
            <w:tcBorders>
              <w:top w:val="nil"/>
              <w:left w:val="nil"/>
              <w:bottom w:val="nil"/>
              <w:right w:val="nil"/>
            </w:tcBorders>
            <w:vAlign w:val="center"/>
          </w:tcPr>
          <w:p w14:paraId="45045450" w14:textId="77777777" w:rsidR="00DB56E1" w:rsidRPr="00DB56E1" w:rsidRDefault="00DB56E1" w:rsidP="00DE680C">
            <w:pPr>
              <w:jc w:val="center"/>
              <w:rPr>
                <w:rFonts w:ascii="Verdana" w:eastAsia="Arial" w:hAnsi="Verdana" w:cs="Arial"/>
                <w:b/>
                <w:color w:val="000000"/>
                <w:sz w:val="16"/>
                <w:szCs w:val="16"/>
              </w:rPr>
            </w:pPr>
            <w:r w:rsidRPr="00DB56E1">
              <w:rPr>
                <w:rFonts w:ascii="Verdana" w:eastAsia="Arial" w:hAnsi="Verdana" w:cs="Arial"/>
                <w:b/>
                <w:color w:val="000000"/>
                <w:sz w:val="16"/>
                <w:szCs w:val="16"/>
              </w:rPr>
              <w:t>ALISTAMIENTO</w:t>
            </w:r>
          </w:p>
        </w:tc>
        <w:tc>
          <w:tcPr>
            <w:tcW w:w="5581" w:type="dxa"/>
            <w:tcBorders>
              <w:top w:val="nil"/>
              <w:left w:val="single" w:sz="8" w:space="0" w:color="000000"/>
              <w:bottom w:val="single" w:sz="8" w:space="0" w:color="000000"/>
              <w:right w:val="single" w:sz="8" w:space="0" w:color="000000"/>
            </w:tcBorders>
            <w:vAlign w:val="center"/>
          </w:tcPr>
          <w:p w14:paraId="5223482B" w14:textId="77777777" w:rsidR="00DB56E1" w:rsidRPr="00DB56E1" w:rsidRDefault="00DB56E1" w:rsidP="00DE680C">
            <w:pPr>
              <w:jc w:val="center"/>
              <w:rPr>
                <w:rFonts w:ascii="Verdana" w:eastAsia="Arial" w:hAnsi="Verdana" w:cs="Arial"/>
                <w:color w:val="000000"/>
                <w:sz w:val="16"/>
                <w:szCs w:val="16"/>
              </w:rPr>
            </w:pPr>
            <w:r w:rsidRPr="00DB56E1">
              <w:rPr>
                <w:rFonts w:ascii="Verdana" w:eastAsia="Arial" w:hAnsi="Verdana" w:cs="Arial"/>
                <w:color w:val="000000"/>
                <w:sz w:val="16"/>
                <w:szCs w:val="16"/>
              </w:rPr>
              <w:t xml:space="preserve">1. Selección y contratación del equipo técnico </w:t>
            </w:r>
            <w:r w:rsidRPr="00DB56E1">
              <w:rPr>
                <w:rFonts w:ascii="Verdana" w:eastAsia="Arial" w:hAnsi="Verdana" w:cs="Arial"/>
                <w:color w:val="000000"/>
                <w:sz w:val="16"/>
                <w:szCs w:val="16"/>
              </w:rPr>
              <w:br/>
              <w:t>2. Realización de mesas técnicas de trabajo: Plan operativo, cronograma y plan de inversión del convenio.</w:t>
            </w:r>
            <w:r w:rsidRPr="00DB56E1">
              <w:rPr>
                <w:rFonts w:ascii="Verdana" w:eastAsia="Arial" w:hAnsi="Verdana" w:cs="Arial"/>
                <w:color w:val="000000"/>
                <w:sz w:val="16"/>
                <w:szCs w:val="16"/>
              </w:rPr>
              <w:br/>
              <w:t>3. Elaboración de propuesta de Guía Metodológica de trabajo con instrumentos</w:t>
            </w:r>
            <w:r w:rsidRPr="00DB56E1">
              <w:rPr>
                <w:rFonts w:ascii="Verdana" w:eastAsia="Arial" w:hAnsi="Verdana" w:cs="Arial"/>
                <w:color w:val="000000"/>
                <w:sz w:val="16"/>
                <w:szCs w:val="16"/>
              </w:rPr>
              <w:br/>
              <w:t>4. Elaboración de estrategias de comunicación</w:t>
            </w:r>
            <w:r w:rsidRPr="00DB56E1">
              <w:rPr>
                <w:rFonts w:ascii="Verdana" w:eastAsia="Arial" w:hAnsi="Verdana" w:cs="Arial"/>
                <w:color w:val="000000"/>
                <w:sz w:val="16"/>
                <w:szCs w:val="16"/>
              </w:rPr>
              <w:br/>
              <w:t>5. Desarrollo de un espacio técnico para el diseño de un documento base que sirva como guía para el desarrollo de los despliegues territoriales y la consolidación de la información.</w:t>
            </w:r>
            <w:r w:rsidRPr="00DB56E1">
              <w:rPr>
                <w:rFonts w:ascii="Verdana" w:eastAsia="Arial" w:hAnsi="Verdana" w:cs="Arial"/>
                <w:color w:val="000000"/>
                <w:sz w:val="16"/>
                <w:szCs w:val="16"/>
              </w:rPr>
              <w:br/>
              <w:t>6. Mesa técnica para la Identificación de participantes</w:t>
            </w:r>
            <w:r w:rsidRPr="00DB56E1">
              <w:rPr>
                <w:rFonts w:ascii="Verdana" w:eastAsia="Arial" w:hAnsi="Verdana" w:cs="Arial"/>
                <w:color w:val="000000"/>
                <w:sz w:val="16"/>
                <w:szCs w:val="16"/>
              </w:rPr>
              <w:br/>
              <w:t>7. Alistamiento técnico, logístico y administrativo del despliegue</w:t>
            </w:r>
          </w:p>
        </w:tc>
        <w:tc>
          <w:tcPr>
            <w:tcW w:w="0" w:type="auto"/>
            <w:vAlign w:val="center"/>
          </w:tcPr>
          <w:p w14:paraId="2E9481EC" w14:textId="77777777" w:rsidR="00DB56E1" w:rsidRPr="00DB56E1" w:rsidRDefault="00DB56E1" w:rsidP="00DE680C">
            <w:pPr>
              <w:rPr>
                <w:rFonts w:ascii="Verdana" w:eastAsia="Calibri" w:hAnsi="Verdana" w:cs="Calibri"/>
                <w:sz w:val="16"/>
                <w:szCs w:val="16"/>
              </w:rPr>
            </w:pPr>
          </w:p>
        </w:tc>
      </w:tr>
      <w:tr w:rsidR="00DB56E1" w:rsidRPr="00DB56E1" w14:paraId="25150C95" w14:textId="77777777" w:rsidTr="00DB56E1">
        <w:trPr>
          <w:trHeight w:val="1247"/>
        </w:trPr>
        <w:tc>
          <w:tcPr>
            <w:tcW w:w="992" w:type="dxa"/>
            <w:tcBorders>
              <w:top w:val="single" w:sz="8" w:space="0" w:color="000000"/>
              <w:left w:val="single" w:sz="8" w:space="0" w:color="000000"/>
              <w:bottom w:val="single" w:sz="8" w:space="0" w:color="000000"/>
              <w:right w:val="single" w:sz="8" w:space="0" w:color="000000"/>
            </w:tcBorders>
            <w:vAlign w:val="center"/>
          </w:tcPr>
          <w:p w14:paraId="17C1276C" w14:textId="77777777" w:rsidR="00DB56E1" w:rsidRPr="00DB56E1" w:rsidRDefault="00DB56E1" w:rsidP="00DE680C">
            <w:pPr>
              <w:jc w:val="center"/>
              <w:rPr>
                <w:rFonts w:ascii="Verdana" w:eastAsia="Arial" w:hAnsi="Verdana" w:cs="Arial"/>
                <w:b/>
                <w:color w:val="000000"/>
                <w:sz w:val="16"/>
                <w:szCs w:val="16"/>
              </w:rPr>
            </w:pPr>
            <w:r w:rsidRPr="00DB56E1">
              <w:rPr>
                <w:rFonts w:ascii="Verdana" w:eastAsia="Arial" w:hAnsi="Verdana" w:cs="Arial"/>
                <w:b/>
                <w:color w:val="000000"/>
                <w:sz w:val="16"/>
                <w:szCs w:val="16"/>
              </w:rPr>
              <w:t>2</w:t>
            </w:r>
          </w:p>
        </w:tc>
        <w:tc>
          <w:tcPr>
            <w:tcW w:w="1843" w:type="dxa"/>
            <w:tcBorders>
              <w:top w:val="single" w:sz="8" w:space="0" w:color="000000"/>
              <w:left w:val="nil"/>
              <w:bottom w:val="single" w:sz="8" w:space="0" w:color="000000"/>
              <w:right w:val="single" w:sz="8" w:space="0" w:color="000000"/>
            </w:tcBorders>
            <w:vAlign w:val="center"/>
          </w:tcPr>
          <w:p w14:paraId="68122409" w14:textId="77777777" w:rsidR="00DB56E1" w:rsidRPr="00DB56E1" w:rsidRDefault="00DB56E1" w:rsidP="00DE680C">
            <w:pPr>
              <w:jc w:val="center"/>
              <w:rPr>
                <w:rFonts w:ascii="Verdana" w:eastAsia="Arial" w:hAnsi="Verdana" w:cs="Arial"/>
                <w:b/>
                <w:color w:val="000000"/>
                <w:sz w:val="16"/>
                <w:szCs w:val="16"/>
              </w:rPr>
            </w:pPr>
            <w:r w:rsidRPr="00DB56E1">
              <w:rPr>
                <w:rFonts w:ascii="Verdana" w:eastAsia="Arial" w:hAnsi="Verdana" w:cs="Arial"/>
                <w:b/>
                <w:color w:val="000000"/>
                <w:sz w:val="16"/>
                <w:szCs w:val="16"/>
              </w:rPr>
              <w:t>ENCUENTROS TERRITORIALES</w:t>
            </w:r>
          </w:p>
        </w:tc>
        <w:tc>
          <w:tcPr>
            <w:tcW w:w="5581" w:type="dxa"/>
            <w:tcBorders>
              <w:top w:val="nil"/>
              <w:left w:val="nil"/>
              <w:bottom w:val="single" w:sz="8" w:space="0" w:color="000000"/>
              <w:right w:val="single" w:sz="8" w:space="0" w:color="000000"/>
            </w:tcBorders>
            <w:vAlign w:val="center"/>
          </w:tcPr>
          <w:p w14:paraId="1AFD6A41" w14:textId="77777777" w:rsidR="00DB56E1" w:rsidRPr="00DB56E1" w:rsidRDefault="00DB56E1" w:rsidP="00DE680C">
            <w:pPr>
              <w:jc w:val="center"/>
              <w:rPr>
                <w:rFonts w:ascii="Verdana" w:eastAsia="Arial" w:hAnsi="Verdana" w:cs="Arial"/>
                <w:color w:val="000000"/>
                <w:sz w:val="16"/>
                <w:szCs w:val="16"/>
              </w:rPr>
            </w:pPr>
            <w:r w:rsidRPr="00DB56E1">
              <w:rPr>
                <w:rFonts w:ascii="Verdana" w:eastAsia="Arial" w:hAnsi="Verdana" w:cs="Arial"/>
                <w:color w:val="000000"/>
                <w:sz w:val="16"/>
                <w:szCs w:val="16"/>
              </w:rPr>
              <w:t>1. Convocatorias para los encuentros territoriales</w:t>
            </w:r>
            <w:r w:rsidRPr="00DB56E1">
              <w:rPr>
                <w:rFonts w:ascii="Verdana" w:eastAsia="Arial" w:hAnsi="Verdana" w:cs="Arial"/>
                <w:color w:val="000000"/>
                <w:sz w:val="16"/>
                <w:szCs w:val="16"/>
              </w:rPr>
              <w:br/>
              <w:t>2. Realización de los encuentros</w:t>
            </w:r>
            <w:r w:rsidRPr="00DB56E1">
              <w:rPr>
                <w:rFonts w:ascii="Verdana" w:eastAsia="Arial" w:hAnsi="Verdana" w:cs="Arial"/>
                <w:color w:val="000000"/>
                <w:sz w:val="16"/>
                <w:szCs w:val="16"/>
              </w:rPr>
              <w:br/>
              <w:t>3. Reunión con los equipos territoriales</w:t>
            </w:r>
            <w:r w:rsidRPr="00DB56E1">
              <w:rPr>
                <w:rFonts w:ascii="Verdana" w:eastAsia="Arial" w:hAnsi="Verdana" w:cs="Arial"/>
                <w:color w:val="000000"/>
                <w:sz w:val="16"/>
                <w:szCs w:val="16"/>
              </w:rPr>
              <w:br/>
              <w:t>4. Elaboración de documento técnico con los soportes y resultados preliminares.</w:t>
            </w:r>
          </w:p>
        </w:tc>
        <w:tc>
          <w:tcPr>
            <w:tcW w:w="0" w:type="auto"/>
            <w:vAlign w:val="center"/>
          </w:tcPr>
          <w:p w14:paraId="06E1F232" w14:textId="77777777" w:rsidR="00DB56E1" w:rsidRPr="00DB56E1" w:rsidRDefault="00DB56E1" w:rsidP="00DE680C">
            <w:pPr>
              <w:rPr>
                <w:rFonts w:ascii="Verdana" w:eastAsia="Calibri" w:hAnsi="Verdana" w:cs="Calibri"/>
                <w:sz w:val="16"/>
                <w:szCs w:val="16"/>
              </w:rPr>
            </w:pPr>
          </w:p>
        </w:tc>
      </w:tr>
      <w:tr w:rsidR="00DB56E1" w:rsidRPr="00DB56E1" w14:paraId="476073CA" w14:textId="77777777" w:rsidTr="00DB56E1">
        <w:trPr>
          <w:trHeight w:val="406"/>
        </w:trPr>
        <w:tc>
          <w:tcPr>
            <w:tcW w:w="992" w:type="dxa"/>
            <w:tcBorders>
              <w:top w:val="nil"/>
              <w:left w:val="single" w:sz="8" w:space="0" w:color="000000"/>
              <w:bottom w:val="single" w:sz="8" w:space="0" w:color="000000"/>
              <w:right w:val="nil"/>
            </w:tcBorders>
            <w:vAlign w:val="center"/>
          </w:tcPr>
          <w:p w14:paraId="33906E3F" w14:textId="7DAE5767" w:rsidR="00DB56E1" w:rsidRPr="00DB56E1" w:rsidRDefault="00DB56E1" w:rsidP="00DE680C">
            <w:pPr>
              <w:jc w:val="center"/>
              <w:rPr>
                <w:rFonts w:ascii="Verdana" w:eastAsia="Arial" w:hAnsi="Verdana" w:cs="Arial"/>
                <w:b/>
                <w:color w:val="000000"/>
                <w:sz w:val="16"/>
                <w:szCs w:val="16"/>
              </w:rPr>
            </w:pPr>
            <w:r>
              <w:rPr>
                <w:rFonts w:ascii="Verdana" w:eastAsia="Arial" w:hAnsi="Verdana" w:cs="Arial"/>
                <w:b/>
                <w:color w:val="000000"/>
                <w:sz w:val="16"/>
                <w:szCs w:val="16"/>
              </w:rPr>
              <w:t>3</w:t>
            </w:r>
          </w:p>
        </w:tc>
        <w:tc>
          <w:tcPr>
            <w:tcW w:w="1843" w:type="dxa"/>
            <w:tcBorders>
              <w:top w:val="nil"/>
              <w:left w:val="single" w:sz="8" w:space="0" w:color="000000"/>
              <w:bottom w:val="single" w:sz="8" w:space="0" w:color="000000"/>
              <w:right w:val="single" w:sz="4" w:space="0" w:color="000000"/>
            </w:tcBorders>
            <w:vAlign w:val="center"/>
          </w:tcPr>
          <w:p w14:paraId="46E2309E" w14:textId="77777777" w:rsidR="00DB56E1" w:rsidRPr="00DB56E1" w:rsidRDefault="00DB56E1" w:rsidP="00DE680C">
            <w:pPr>
              <w:jc w:val="center"/>
              <w:rPr>
                <w:rFonts w:ascii="Verdana" w:eastAsia="Arial" w:hAnsi="Verdana" w:cs="Arial"/>
                <w:b/>
                <w:color w:val="000000"/>
                <w:sz w:val="16"/>
                <w:szCs w:val="16"/>
              </w:rPr>
            </w:pPr>
            <w:r w:rsidRPr="00DB56E1">
              <w:rPr>
                <w:rFonts w:ascii="Verdana" w:eastAsia="Arial" w:hAnsi="Verdana" w:cs="Arial"/>
                <w:b/>
                <w:color w:val="000000"/>
                <w:sz w:val="16"/>
                <w:szCs w:val="16"/>
              </w:rPr>
              <w:t>ANALISIS Y SISTEMATIZACION DE LA INFORMACION</w:t>
            </w:r>
          </w:p>
        </w:tc>
        <w:tc>
          <w:tcPr>
            <w:tcW w:w="5581" w:type="dxa"/>
            <w:tcBorders>
              <w:top w:val="nil"/>
              <w:left w:val="nil"/>
              <w:bottom w:val="single" w:sz="8" w:space="0" w:color="000000"/>
              <w:right w:val="single" w:sz="4" w:space="0" w:color="000000"/>
            </w:tcBorders>
            <w:vAlign w:val="center"/>
          </w:tcPr>
          <w:p w14:paraId="6E6FED0B" w14:textId="77777777" w:rsidR="00DB56E1" w:rsidRPr="00DB56E1" w:rsidRDefault="00DB56E1" w:rsidP="00DE680C">
            <w:pPr>
              <w:jc w:val="center"/>
              <w:rPr>
                <w:rFonts w:ascii="Verdana" w:eastAsia="Arial" w:hAnsi="Verdana" w:cs="Arial"/>
                <w:color w:val="000000"/>
                <w:sz w:val="16"/>
                <w:szCs w:val="16"/>
              </w:rPr>
            </w:pPr>
            <w:r w:rsidRPr="00DB56E1">
              <w:rPr>
                <w:rFonts w:ascii="Verdana" w:eastAsia="Arial" w:hAnsi="Verdana" w:cs="Arial"/>
                <w:color w:val="000000"/>
                <w:sz w:val="16"/>
                <w:szCs w:val="16"/>
              </w:rPr>
              <w:t>1. Análisis de la información consolidada de los encuentros</w:t>
            </w:r>
            <w:r w:rsidRPr="00DB56E1">
              <w:rPr>
                <w:rFonts w:ascii="Verdana" w:eastAsia="Arial" w:hAnsi="Verdana" w:cs="Arial"/>
                <w:color w:val="000000"/>
                <w:sz w:val="16"/>
                <w:szCs w:val="16"/>
              </w:rPr>
              <w:br/>
              <w:t>2. Complement</w:t>
            </w:r>
            <w:r w:rsidRPr="00DB56E1">
              <w:rPr>
                <w:rFonts w:ascii="Verdana" w:eastAsia="Arial" w:hAnsi="Verdana" w:cs="Arial"/>
                <w:sz w:val="16"/>
                <w:szCs w:val="16"/>
              </w:rPr>
              <w:t xml:space="preserve">ación </w:t>
            </w:r>
            <w:r w:rsidRPr="00DB56E1">
              <w:rPr>
                <w:rFonts w:ascii="Verdana" w:eastAsia="Arial" w:hAnsi="Verdana" w:cs="Arial"/>
                <w:color w:val="000000"/>
                <w:sz w:val="16"/>
                <w:szCs w:val="16"/>
              </w:rPr>
              <w:t>del documento propuesto del (documento base) con los resultados de los encuentros territoriales.</w:t>
            </w:r>
            <w:r w:rsidRPr="00DB56E1">
              <w:rPr>
                <w:rFonts w:ascii="Verdana" w:eastAsia="Arial" w:hAnsi="Verdana" w:cs="Arial"/>
                <w:color w:val="000000"/>
                <w:sz w:val="16"/>
                <w:szCs w:val="16"/>
              </w:rPr>
              <w:br/>
              <w:t>3. Participación por parte del equipo técnico en los espacios de sistematización y demás necesarios para el cumplimiento de objetivos del convenio.</w:t>
            </w:r>
          </w:p>
        </w:tc>
        <w:tc>
          <w:tcPr>
            <w:tcW w:w="0" w:type="auto"/>
            <w:vAlign w:val="center"/>
          </w:tcPr>
          <w:p w14:paraId="56E5C26B" w14:textId="77777777" w:rsidR="00DB56E1" w:rsidRPr="00DB56E1" w:rsidRDefault="00DB56E1" w:rsidP="00DE680C">
            <w:pPr>
              <w:rPr>
                <w:rFonts w:ascii="Verdana" w:eastAsia="Calibri" w:hAnsi="Verdana" w:cs="Calibri"/>
                <w:sz w:val="16"/>
                <w:szCs w:val="16"/>
              </w:rPr>
            </w:pPr>
          </w:p>
        </w:tc>
      </w:tr>
    </w:tbl>
    <w:p w14:paraId="45B66BEC" w14:textId="0257136E" w:rsidR="00DB56E1" w:rsidRDefault="00DB56E1" w:rsidP="00DB56E1">
      <w:pPr>
        <w:pStyle w:val="Prrafodelista"/>
        <w:spacing w:after="240"/>
        <w:ind w:left="-142" w:right="-801"/>
        <w:jc w:val="both"/>
        <w:rPr>
          <w:rFonts w:ascii="Verdana" w:eastAsia="Verdana" w:hAnsi="Verdana" w:cs="Verdana"/>
          <w:b/>
          <w:bCs/>
          <w:sz w:val="20"/>
          <w:szCs w:val="20"/>
        </w:rPr>
      </w:pPr>
    </w:p>
    <w:p w14:paraId="24A8F521" w14:textId="7BAA0CB5" w:rsidR="00E51800" w:rsidRPr="00DB56E1" w:rsidRDefault="00BC076F" w:rsidP="00DB56E1">
      <w:pPr>
        <w:pStyle w:val="Prrafodelista"/>
        <w:numPr>
          <w:ilvl w:val="1"/>
          <w:numId w:val="4"/>
        </w:numPr>
        <w:spacing w:after="240"/>
        <w:ind w:left="-142" w:right="-801"/>
        <w:jc w:val="both"/>
        <w:rPr>
          <w:rFonts w:ascii="Verdana" w:eastAsia="Verdana" w:hAnsi="Verdana" w:cs="Verdana"/>
          <w:b/>
          <w:bCs/>
          <w:sz w:val="20"/>
          <w:szCs w:val="20"/>
        </w:rPr>
      </w:pPr>
      <w:r w:rsidRPr="00DB56E1">
        <w:rPr>
          <w:rFonts w:ascii="Verdana" w:eastAsia="Verdana" w:hAnsi="Verdana" w:cs="Verdana"/>
          <w:b/>
          <w:bCs/>
          <w:sz w:val="20"/>
          <w:szCs w:val="20"/>
        </w:rPr>
        <w:t>EVALUACIÓN FINANCIERA:</w:t>
      </w:r>
    </w:p>
    <w:p w14:paraId="37DEB774" w14:textId="384ACDBA" w:rsidR="00951C68" w:rsidRDefault="111D4F47" w:rsidP="00DB56E1">
      <w:pPr>
        <w:pStyle w:val="NormalWeb"/>
        <w:numPr>
          <w:ilvl w:val="2"/>
          <w:numId w:val="4"/>
        </w:numPr>
        <w:ind w:left="0" w:right="-801" w:firstLine="0"/>
        <w:jc w:val="both"/>
        <w:rPr>
          <w:rFonts w:ascii="Verdana" w:eastAsia="Calibri" w:hAnsi="Verdana" w:cs="Calibri"/>
          <w:sz w:val="20"/>
          <w:szCs w:val="20"/>
          <w:lang w:val="es-ES"/>
        </w:rPr>
      </w:pPr>
      <w:r w:rsidRPr="001A3FFD">
        <w:rPr>
          <w:rFonts w:ascii="Verdana" w:eastAsia="Calibri" w:hAnsi="Verdana" w:cs="Calibri"/>
          <w:b/>
          <w:bCs/>
          <w:sz w:val="20"/>
          <w:szCs w:val="20"/>
          <w:lang w:val="es-ES"/>
        </w:rPr>
        <w:t xml:space="preserve">Muestra: </w:t>
      </w:r>
      <w:r w:rsidRPr="001A3FFD">
        <w:rPr>
          <w:rFonts w:ascii="Verdana" w:eastAsia="Calibri" w:hAnsi="Verdana" w:cs="Calibri"/>
          <w:sz w:val="20"/>
          <w:szCs w:val="20"/>
          <w:lang w:val="es-ES"/>
        </w:rPr>
        <w:t xml:space="preserve">Para efectos de este análisis se tomaron </w:t>
      </w:r>
      <w:r w:rsidR="00DB56E1">
        <w:rPr>
          <w:rFonts w:ascii="Verdana" w:eastAsia="Calibri" w:hAnsi="Verdana" w:cs="Calibri"/>
          <w:sz w:val="20"/>
          <w:szCs w:val="20"/>
          <w:lang w:val="es-ES"/>
        </w:rPr>
        <w:t>dos</w:t>
      </w:r>
      <w:r w:rsidRPr="001A3FFD">
        <w:rPr>
          <w:rFonts w:ascii="Verdana" w:eastAsia="Calibri" w:hAnsi="Verdana" w:cs="Calibri"/>
          <w:sz w:val="20"/>
          <w:szCs w:val="20"/>
          <w:lang w:val="es-ES"/>
        </w:rPr>
        <w:t xml:space="preserve"> referentes históricos que comparten elementos estructurales y operativos similares con la propuesta presentada por </w:t>
      </w:r>
      <w:r w:rsidR="6FFC7FAE" w:rsidRPr="001A3FFD">
        <w:rPr>
          <w:rFonts w:ascii="Verdana" w:eastAsia="Calibri" w:hAnsi="Verdana" w:cs="Calibri"/>
          <w:sz w:val="20"/>
          <w:szCs w:val="20"/>
          <w:lang w:val="es-ES"/>
        </w:rPr>
        <w:t>l</w:t>
      </w:r>
      <w:r w:rsidRPr="001A3FFD">
        <w:rPr>
          <w:rFonts w:ascii="Verdana" w:eastAsia="Calibri" w:hAnsi="Verdana" w:cs="Calibri"/>
          <w:sz w:val="20"/>
          <w:szCs w:val="20"/>
          <w:lang w:val="es-ES"/>
        </w:rPr>
        <w:t xml:space="preserve">a </w:t>
      </w:r>
      <w:r w:rsidR="00DB56E1">
        <w:rPr>
          <w:rFonts w:ascii="Verdana" w:eastAsia="Calibri" w:hAnsi="Verdana" w:cs="Calibri"/>
          <w:b/>
          <w:bCs/>
          <w:sz w:val="20"/>
          <w:szCs w:val="20"/>
          <w:lang w:val="es-ES"/>
        </w:rPr>
        <w:t>OPIAC</w:t>
      </w:r>
      <w:r w:rsidRPr="001A3FFD">
        <w:rPr>
          <w:rFonts w:ascii="Verdana" w:eastAsia="Calibri" w:hAnsi="Verdana" w:cs="Calibri"/>
          <w:b/>
          <w:bCs/>
          <w:sz w:val="20"/>
          <w:szCs w:val="20"/>
          <w:lang w:val="es-ES"/>
        </w:rPr>
        <w:t xml:space="preserve"> para 2026</w:t>
      </w:r>
      <w:r w:rsidRPr="001A3FFD">
        <w:rPr>
          <w:rFonts w:ascii="Verdana" w:eastAsia="Calibri" w:hAnsi="Verdana" w:cs="Calibri"/>
          <w:sz w:val="20"/>
          <w:szCs w:val="20"/>
          <w:lang w:val="es-ES"/>
        </w:rPr>
        <w:t>:</w:t>
      </w:r>
    </w:p>
    <w:p w14:paraId="09AC338F" w14:textId="09C302D5" w:rsidR="00742E80" w:rsidRPr="00DB56E1" w:rsidRDefault="1928AC98" w:rsidP="00DB56E1">
      <w:pPr>
        <w:pStyle w:val="NormalWeb"/>
        <w:numPr>
          <w:ilvl w:val="1"/>
          <w:numId w:val="6"/>
        </w:numPr>
        <w:ind w:right="-801"/>
        <w:jc w:val="both"/>
        <w:rPr>
          <w:rFonts w:ascii="Verdana" w:eastAsia="Calibri" w:hAnsi="Verdana" w:cs="Calibri"/>
          <w:b/>
          <w:bCs/>
          <w:sz w:val="20"/>
          <w:szCs w:val="20"/>
          <w:lang w:val="es-ES"/>
        </w:rPr>
      </w:pPr>
      <w:r w:rsidRPr="1928AC98">
        <w:rPr>
          <w:rFonts w:ascii="Verdana" w:eastAsia="Calibri" w:hAnsi="Verdana" w:cs="Calibri"/>
          <w:b/>
          <w:bCs/>
          <w:sz w:val="20"/>
          <w:szCs w:val="20"/>
          <w:lang w:val="es-ES"/>
        </w:rPr>
        <w:t xml:space="preserve">3928 de 2024: </w:t>
      </w:r>
      <w:r w:rsidRPr="1928AC98">
        <w:rPr>
          <w:rFonts w:ascii="Verdana" w:eastAsia="Calibri" w:hAnsi="Verdana" w:cs="Calibri"/>
          <w:sz w:val="20"/>
          <w:szCs w:val="20"/>
          <w:lang w:val="es-ES"/>
        </w:rPr>
        <w:t xml:space="preserve">Suscito con la OPIAC, cuyo objeto fue </w:t>
      </w:r>
      <w:r w:rsidRPr="1928AC98">
        <w:rPr>
          <w:rFonts w:ascii="Verdana" w:eastAsia="Calibri" w:hAnsi="Verdana" w:cs="Calibri"/>
          <w:i/>
          <w:iCs/>
          <w:sz w:val="20"/>
          <w:szCs w:val="20"/>
          <w:lang w:val="es-ES"/>
        </w:rPr>
        <w:t xml:space="preserve">“Aunar esfuerzos humanos, administrativos, técnicos y financieros para el fortalecimiento de los sistemas de conocimientos, las economías y las lenguas propias de los pueblos indígenas de la Amazonía Colombiana, en el marco de los acuerdos establecidos con la MRA en el proceso de consulta previa del Plan Nacional de Desarrollo.” </w:t>
      </w:r>
      <w:r w:rsidRPr="1928AC98">
        <w:rPr>
          <w:rFonts w:ascii="Verdana" w:eastAsia="Calibri" w:hAnsi="Verdana" w:cs="Calibri"/>
          <w:sz w:val="20"/>
          <w:szCs w:val="20"/>
          <w:lang w:val="es-ES"/>
        </w:rPr>
        <w:t xml:space="preserve">El aporte del Ministerio fue por un valor total de </w:t>
      </w:r>
      <w:r w:rsidRPr="1928AC98">
        <w:rPr>
          <w:rFonts w:ascii="Verdana" w:eastAsia="Calibri" w:hAnsi="Verdana" w:cs="Calibri"/>
          <w:b/>
          <w:bCs/>
          <w:sz w:val="20"/>
          <w:szCs w:val="20"/>
          <w:lang w:val="es-ES"/>
        </w:rPr>
        <w:t>MIL CIENTO SETENTA Y CINCO MILLONES M/CTE ($1.175.000.000</w:t>
      </w:r>
      <w:r w:rsidRPr="1928AC98">
        <w:rPr>
          <w:rFonts w:ascii="Verdana" w:eastAsia="Calibri" w:hAnsi="Verdana" w:cs="Calibri"/>
          <w:sz w:val="20"/>
          <w:szCs w:val="20"/>
          <w:lang w:val="es-ES"/>
        </w:rPr>
        <w:t xml:space="preserve"> y unos costos </w:t>
      </w:r>
      <w:r w:rsidRPr="1928AC98">
        <w:rPr>
          <w:rFonts w:ascii="Verdana" w:eastAsia="Calibri" w:hAnsi="Verdana" w:cs="Calibri"/>
          <w:b/>
          <w:bCs/>
          <w:sz w:val="20"/>
          <w:szCs w:val="20"/>
          <w:lang w:val="es-ES"/>
        </w:rPr>
        <w:t>operativos incluidos del 7.5%</w:t>
      </w:r>
      <w:r w:rsidRPr="1928AC98">
        <w:rPr>
          <w:rFonts w:ascii="Verdana" w:eastAsia="Calibri" w:hAnsi="Verdana" w:cs="Calibri"/>
          <w:sz w:val="20"/>
          <w:szCs w:val="20"/>
          <w:lang w:val="es-ES"/>
        </w:rPr>
        <w:t xml:space="preserve"> y finalmente un aporte en especie por </w:t>
      </w:r>
      <w:r w:rsidRPr="1928AC98">
        <w:rPr>
          <w:rFonts w:ascii="Verdana" w:eastAsia="Calibri" w:hAnsi="Verdana" w:cs="Calibri"/>
          <w:b/>
          <w:bCs/>
          <w:sz w:val="20"/>
          <w:szCs w:val="20"/>
          <w:lang w:val="es-ES"/>
        </w:rPr>
        <w:t>CIENTO CATORCE MILLONES QUINIENTOS MIL PESOS M/CTE ($114.500.000)</w:t>
      </w:r>
      <w:r w:rsidRPr="1928AC98">
        <w:rPr>
          <w:rFonts w:ascii="Verdana" w:eastAsia="Calibri" w:hAnsi="Verdana" w:cs="Calibri"/>
          <w:sz w:val="20"/>
          <w:szCs w:val="20"/>
          <w:lang w:val="es-ES"/>
        </w:rPr>
        <w:t xml:space="preserve"> conforme a las propuestas presentadas. Las actividades financiadas fueron:</w:t>
      </w:r>
    </w:p>
    <w:p w14:paraId="48DCC236" w14:textId="4294C197" w:rsidR="00951C68" w:rsidRDefault="00DB56E1" w:rsidP="00742E80">
      <w:pPr>
        <w:pStyle w:val="NormalWeb"/>
        <w:numPr>
          <w:ilvl w:val="2"/>
          <w:numId w:val="6"/>
        </w:numPr>
        <w:ind w:right="-801"/>
        <w:jc w:val="both"/>
        <w:rPr>
          <w:rFonts w:ascii="Verdana" w:eastAsia="Calibri" w:hAnsi="Verdana" w:cs="Calibri"/>
          <w:sz w:val="20"/>
          <w:szCs w:val="20"/>
          <w:lang w:val="es-ES"/>
        </w:rPr>
      </w:pPr>
      <w:r>
        <w:rPr>
          <w:rFonts w:ascii="Verdana" w:eastAsia="Calibri" w:hAnsi="Verdana" w:cs="Calibri"/>
          <w:sz w:val="20"/>
          <w:szCs w:val="20"/>
          <w:lang w:val="es-ES"/>
        </w:rPr>
        <w:t>Línea 1: Emprendimiento culturales $375.000.000</w:t>
      </w:r>
    </w:p>
    <w:p w14:paraId="5FD39D16" w14:textId="65DECEF0" w:rsidR="00DB56E1" w:rsidRPr="001A3FFD" w:rsidRDefault="00DB56E1" w:rsidP="00742E80">
      <w:pPr>
        <w:pStyle w:val="NormalWeb"/>
        <w:numPr>
          <w:ilvl w:val="2"/>
          <w:numId w:val="6"/>
        </w:numPr>
        <w:ind w:right="-801"/>
        <w:jc w:val="both"/>
        <w:rPr>
          <w:rFonts w:ascii="Verdana" w:eastAsia="Calibri" w:hAnsi="Verdana" w:cs="Calibri"/>
          <w:sz w:val="20"/>
          <w:szCs w:val="20"/>
          <w:lang w:val="es-ES"/>
        </w:rPr>
      </w:pPr>
      <w:r>
        <w:rPr>
          <w:rFonts w:ascii="Verdana" w:eastAsia="Calibri" w:hAnsi="Verdana" w:cs="Calibri"/>
          <w:sz w:val="20"/>
          <w:szCs w:val="20"/>
          <w:lang w:val="es-ES"/>
        </w:rPr>
        <w:t>Línea 2: Plan Nacional Decenal de Lenguas: $200.000.000</w:t>
      </w:r>
    </w:p>
    <w:p w14:paraId="7ABB086F" w14:textId="4C029981" w:rsidR="00951C68" w:rsidRPr="001A3FFD" w:rsidRDefault="00DB56E1" w:rsidP="00742E80">
      <w:pPr>
        <w:pStyle w:val="NormalWeb"/>
        <w:numPr>
          <w:ilvl w:val="2"/>
          <w:numId w:val="6"/>
        </w:numPr>
        <w:ind w:right="-801"/>
        <w:jc w:val="both"/>
        <w:rPr>
          <w:rFonts w:ascii="Verdana" w:eastAsia="Calibri" w:hAnsi="Verdana" w:cs="Calibri"/>
          <w:sz w:val="20"/>
          <w:szCs w:val="20"/>
          <w:lang w:val="es-ES"/>
        </w:rPr>
      </w:pPr>
      <w:r>
        <w:rPr>
          <w:rFonts w:ascii="Verdana" w:eastAsia="Calibri" w:hAnsi="Verdana" w:cs="Calibri"/>
          <w:sz w:val="20"/>
          <w:szCs w:val="20"/>
          <w:lang w:val="es-ES"/>
        </w:rPr>
        <w:t xml:space="preserve">Línea </w:t>
      </w:r>
      <w:r w:rsidR="00951C68" w:rsidRPr="001A3FFD">
        <w:rPr>
          <w:rFonts w:ascii="Verdana" w:eastAsia="Calibri" w:hAnsi="Verdana" w:cs="Calibri"/>
          <w:sz w:val="20"/>
          <w:szCs w:val="20"/>
          <w:lang w:val="es-ES"/>
        </w:rPr>
        <w:t>3</w:t>
      </w:r>
      <w:r>
        <w:rPr>
          <w:rFonts w:ascii="Verdana" w:eastAsia="Calibri" w:hAnsi="Verdana" w:cs="Calibri"/>
          <w:sz w:val="20"/>
          <w:szCs w:val="20"/>
          <w:lang w:val="es-ES"/>
        </w:rPr>
        <w:t>: Plan Integral Regional: $500.000.000</w:t>
      </w:r>
    </w:p>
    <w:p w14:paraId="2F7E53DE" w14:textId="38587BCB" w:rsidR="00742E80" w:rsidRPr="001A3FFD" w:rsidRDefault="00DB56E1" w:rsidP="00742E80">
      <w:pPr>
        <w:pStyle w:val="NormalWeb"/>
        <w:numPr>
          <w:ilvl w:val="2"/>
          <w:numId w:val="6"/>
        </w:numPr>
        <w:ind w:right="-801"/>
        <w:jc w:val="both"/>
        <w:rPr>
          <w:rFonts w:ascii="Verdana" w:eastAsia="Calibri" w:hAnsi="Verdana" w:cs="Calibri"/>
          <w:sz w:val="20"/>
          <w:szCs w:val="20"/>
          <w:lang w:val="es-ES"/>
        </w:rPr>
      </w:pPr>
      <w:r>
        <w:rPr>
          <w:rFonts w:ascii="Verdana" w:eastAsia="Calibri" w:hAnsi="Verdana" w:cs="Calibri"/>
          <w:sz w:val="20"/>
          <w:szCs w:val="20"/>
          <w:lang w:val="es-ES"/>
        </w:rPr>
        <w:t>Línea 4: Traducción Sentencia: $100.000.000</w:t>
      </w:r>
    </w:p>
    <w:p w14:paraId="065CE23D" w14:textId="5B2BF275" w:rsidR="00951C68" w:rsidRPr="001A3FFD" w:rsidRDefault="004F34C2" w:rsidP="00951C68">
      <w:pPr>
        <w:pStyle w:val="NormalWeb"/>
        <w:numPr>
          <w:ilvl w:val="1"/>
          <w:numId w:val="6"/>
        </w:numPr>
        <w:ind w:right="-801"/>
        <w:jc w:val="both"/>
        <w:rPr>
          <w:rFonts w:ascii="Verdana" w:eastAsia="Calibri" w:hAnsi="Verdana" w:cs="Calibri"/>
          <w:sz w:val="20"/>
          <w:szCs w:val="20"/>
          <w:lang w:val="es-ES"/>
        </w:rPr>
      </w:pPr>
      <w:r w:rsidRPr="004F34C2">
        <w:rPr>
          <w:rFonts w:ascii="Verdana" w:eastAsia="Calibri" w:hAnsi="Verdana" w:cs="Calibri"/>
          <w:b/>
          <w:bCs/>
          <w:sz w:val="20"/>
          <w:szCs w:val="20"/>
          <w:lang w:val="es-ES"/>
        </w:rPr>
        <w:t>4453</w:t>
      </w:r>
      <w:r>
        <w:rPr>
          <w:rFonts w:ascii="Verdana" w:eastAsia="Calibri" w:hAnsi="Verdana" w:cs="Calibri"/>
          <w:b/>
          <w:bCs/>
          <w:sz w:val="20"/>
          <w:szCs w:val="20"/>
          <w:lang w:val="es-ES"/>
        </w:rPr>
        <w:t xml:space="preserve"> de </w:t>
      </w:r>
      <w:r w:rsidR="00951C68" w:rsidRPr="001A3FFD">
        <w:rPr>
          <w:rFonts w:ascii="Verdana" w:eastAsia="Calibri" w:hAnsi="Verdana" w:cs="Calibri"/>
          <w:b/>
          <w:bCs/>
          <w:sz w:val="20"/>
          <w:szCs w:val="20"/>
          <w:lang w:val="es-ES"/>
        </w:rPr>
        <w:t>202</w:t>
      </w:r>
      <w:r>
        <w:rPr>
          <w:rFonts w:ascii="Verdana" w:eastAsia="Calibri" w:hAnsi="Verdana" w:cs="Calibri"/>
          <w:b/>
          <w:bCs/>
          <w:sz w:val="20"/>
          <w:szCs w:val="20"/>
          <w:lang w:val="es-ES"/>
        </w:rPr>
        <w:t>3</w:t>
      </w:r>
      <w:r w:rsidR="00951C68" w:rsidRPr="001A3FFD">
        <w:rPr>
          <w:rFonts w:ascii="Verdana" w:eastAsia="Calibri" w:hAnsi="Verdana" w:cs="Calibri"/>
          <w:b/>
          <w:bCs/>
          <w:sz w:val="20"/>
          <w:szCs w:val="20"/>
          <w:lang w:val="es-ES"/>
        </w:rPr>
        <w:t xml:space="preserve">: </w:t>
      </w:r>
      <w:r w:rsidR="00951C68" w:rsidRPr="001A3FFD">
        <w:rPr>
          <w:rFonts w:ascii="Verdana" w:eastAsia="Calibri" w:hAnsi="Verdana" w:cs="Calibri"/>
          <w:sz w:val="20"/>
          <w:szCs w:val="20"/>
          <w:lang w:val="es-ES"/>
        </w:rPr>
        <w:t xml:space="preserve">Suscito con la </w:t>
      </w:r>
      <w:r>
        <w:rPr>
          <w:rFonts w:ascii="Verdana" w:eastAsia="Calibri" w:hAnsi="Verdana" w:cs="Calibri"/>
          <w:sz w:val="20"/>
          <w:szCs w:val="20"/>
          <w:lang w:val="es-ES"/>
        </w:rPr>
        <w:t>OPIAC</w:t>
      </w:r>
      <w:r w:rsidR="00951C68" w:rsidRPr="001A3FFD">
        <w:rPr>
          <w:rFonts w:ascii="Verdana" w:eastAsia="Calibri" w:hAnsi="Verdana" w:cs="Calibri"/>
          <w:sz w:val="20"/>
          <w:szCs w:val="20"/>
          <w:lang w:val="es-ES"/>
        </w:rPr>
        <w:t xml:space="preserve">, cuyo objeto fue </w:t>
      </w:r>
      <w:r w:rsidR="00951C68" w:rsidRPr="001A3FFD">
        <w:rPr>
          <w:rFonts w:ascii="Verdana" w:eastAsia="Calibri" w:hAnsi="Verdana" w:cs="Calibri"/>
          <w:i/>
          <w:iCs/>
          <w:sz w:val="20"/>
          <w:szCs w:val="20"/>
          <w:lang w:val="es-ES"/>
        </w:rPr>
        <w:t>"</w:t>
      </w:r>
      <w:r w:rsidRPr="004F34C2">
        <w:rPr>
          <w:rFonts w:ascii="Verdana" w:eastAsia="Calibri" w:hAnsi="Verdana" w:cs="Calibri"/>
          <w:i/>
          <w:iCs/>
          <w:sz w:val="20"/>
          <w:szCs w:val="20"/>
          <w:lang w:val="es-ES"/>
        </w:rPr>
        <w:t>Aunar esfuerzos humanos, técnicos, administrativos y financieros que permitan el fortalecimiento de las escuelas o procesos de formación en comunicación indígena, y la implementación de acciones en el marco de la construcción y desarrollo del Capítulo Pueblos Indígenas del Programa de Patrimonio Audiovisual Colombiano, PACCPI</w:t>
      </w:r>
      <w:r w:rsidR="00951C68" w:rsidRPr="001A3FFD">
        <w:rPr>
          <w:rFonts w:ascii="Verdana" w:eastAsia="Calibri" w:hAnsi="Verdana" w:cs="Calibri"/>
          <w:i/>
          <w:iCs/>
          <w:sz w:val="20"/>
          <w:szCs w:val="20"/>
          <w:lang w:val="es-ES"/>
        </w:rPr>
        <w:t xml:space="preserve">". </w:t>
      </w:r>
      <w:r w:rsidR="00951C68" w:rsidRPr="001A3FFD">
        <w:rPr>
          <w:rFonts w:ascii="Verdana" w:eastAsia="Calibri" w:hAnsi="Verdana" w:cs="Calibri"/>
          <w:sz w:val="20"/>
          <w:szCs w:val="20"/>
          <w:lang w:val="es-ES"/>
        </w:rPr>
        <w:t xml:space="preserve">El aporte del Ministerio fue por un valor total de </w:t>
      </w:r>
      <w:r>
        <w:rPr>
          <w:rFonts w:ascii="Verdana" w:eastAsia="Calibri" w:hAnsi="Verdana" w:cs="Calibri"/>
          <w:b/>
          <w:bCs/>
          <w:sz w:val="20"/>
          <w:szCs w:val="20"/>
          <w:lang w:val="es-ES"/>
        </w:rPr>
        <w:t>NOVENCIENTOS TREINTA Y CINCO M</w:t>
      </w:r>
      <w:r w:rsidR="00951C68" w:rsidRPr="001A3FFD">
        <w:rPr>
          <w:rFonts w:ascii="Verdana" w:eastAsia="Calibri" w:hAnsi="Verdana" w:cs="Calibri"/>
          <w:b/>
          <w:bCs/>
          <w:sz w:val="20"/>
          <w:szCs w:val="20"/>
          <w:lang w:val="es-ES"/>
        </w:rPr>
        <w:t>ILLONES DE PESOS ($</w:t>
      </w:r>
      <w:r>
        <w:rPr>
          <w:rFonts w:ascii="Verdana" w:eastAsia="Calibri" w:hAnsi="Verdana" w:cs="Calibri"/>
          <w:b/>
          <w:bCs/>
          <w:sz w:val="20"/>
          <w:szCs w:val="20"/>
          <w:lang w:val="es-ES"/>
        </w:rPr>
        <w:t>935</w:t>
      </w:r>
      <w:r w:rsidR="00951C68" w:rsidRPr="001A3FFD">
        <w:rPr>
          <w:rFonts w:ascii="Verdana" w:eastAsia="Calibri" w:hAnsi="Verdana" w:cs="Calibri"/>
          <w:b/>
          <w:bCs/>
          <w:sz w:val="20"/>
          <w:szCs w:val="20"/>
          <w:lang w:val="es-ES"/>
        </w:rPr>
        <w:t xml:space="preserve">.000.000) M/CTE </w:t>
      </w:r>
      <w:r w:rsidR="00951C68" w:rsidRPr="001A3FFD">
        <w:rPr>
          <w:rFonts w:ascii="Verdana" w:eastAsia="Calibri" w:hAnsi="Verdana" w:cs="Calibri"/>
          <w:sz w:val="20"/>
          <w:szCs w:val="20"/>
          <w:lang w:val="es-ES"/>
        </w:rPr>
        <w:t xml:space="preserve">y unos </w:t>
      </w:r>
      <w:r w:rsidR="00951C68" w:rsidRPr="001A3FFD">
        <w:rPr>
          <w:rFonts w:ascii="Verdana" w:eastAsia="Calibri" w:hAnsi="Verdana" w:cs="Calibri"/>
          <w:b/>
          <w:bCs/>
          <w:sz w:val="20"/>
          <w:szCs w:val="20"/>
          <w:lang w:val="es-ES"/>
        </w:rPr>
        <w:t xml:space="preserve">costos operativos incluidos del </w:t>
      </w:r>
      <w:r>
        <w:rPr>
          <w:rFonts w:ascii="Verdana" w:eastAsia="Calibri" w:hAnsi="Verdana" w:cs="Calibri"/>
          <w:b/>
          <w:bCs/>
          <w:sz w:val="20"/>
          <w:szCs w:val="20"/>
          <w:lang w:val="es-ES"/>
        </w:rPr>
        <w:t>7,5</w:t>
      </w:r>
      <w:r w:rsidR="00951C68" w:rsidRPr="001A3FFD">
        <w:rPr>
          <w:rFonts w:ascii="Verdana" w:eastAsia="Calibri" w:hAnsi="Verdana" w:cs="Calibri"/>
          <w:b/>
          <w:bCs/>
          <w:sz w:val="20"/>
          <w:szCs w:val="20"/>
          <w:lang w:val="es-ES"/>
        </w:rPr>
        <w:t>%.</w:t>
      </w:r>
      <w:r w:rsidR="00951C68" w:rsidRPr="001A3FFD">
        <w:rPr>
          <w:rFonts w:ascii="Verdana" w:eastAsia="Calibri" w:hAnsi="Verdana" w:cs="Calibri"/>
          <w:sz w:val="20"/>
          <w:szCs w:val="20"/>
          <w:lang w:val="es-ES"/>
        </w:rPr>
        <w:t xml:space="preserve"> Un aporte en especie de </w:t>
      </w:r>
      <w:r>
        <w:rPr>
          <w:rFonts w:ascii="Verdana" w:eastAsia="Calibri" w:hAnsi="Verdana" w:cs="Calibri"/>
          <w:b/>
          <w:bCs/>
          <w:sz w:val="20"/>
          <w:szCs w:val="20"/>
          <w:lang w:val="es-ES"/>
        </w:rPr>
        <w:t xml:space="preserve">CIENTO DOS MILLONES OCHOCIENTOS CINCUENTA </w:t>
      </w:r>
      <w:r w:rsidR="00951C68" w:rsidRPr="001A3FFD">
        <w:rPr>
          <w:rFonts w:ascii="Verdana" w:eastAsia="Calibri" w:hAnsi="Verdana" w:cs="Calibri"/>
          <w:b/>
          <w:bCs/>
          <w:sz w:val="20"/>
          <w:szCs w:val="20"/>
          <w:lang w:val="es-ES"/>
        </w:rPr>
        <w:t>MIL PESOS MC/TE ($1</w:t>
      </w:r>
      <w:r>
        <w:rPr>
          <w:rFonts w:ascii="Verdana" w:eastAsia="Calibri" w:hAnsi="Verdana" w:cs="Calibri"/>
          <w:b/>
          <w:bCs/>
          <w:sz w:val="20"/>
          <w:szCs w:val="20"/>
          <w:lang w:val="es-ES"/>
        </w:rPr>
        <w:t>0</w:t>
      </w:r>
      <w:r w:rsidR="00951C68" w:rsidRPr="001A3FFD">
        <w:rPr>
          <w:rFonts w:ascii="Verdana" w:eastAsia="Calibri" w:hAnsi="Verdana" w:cs="Calibri"/>
          <w:b/>
          <w:bCs/>
          <w:sz w:val="20"/>
          <w:szCs w:val="20"/>
          <w:lang w:val="es-ES"/>
        </w:rPr>
        <w:t>2.</w:t>
      </w:r>
      <w:r>
        <w:rPr>
          <w:rFonts w:ascii="Verdana" w:eastAsia="Calibri" w:hAnsi="Verdana" w:cs="Calibri"/>
          <w:b/>
          <w:bCs/>
          <w:sz w:val="20"/>
          <w:szCs w:val="20"/>
          <w:lang w:val="es-ES"/>
        </w:rPr>
        <w:t>85</w:t>
      </w:r>
      <w:r w:rsidR="00951C68" w:rsidRPr="001A3FFD">
        <w:rPr>
          <w:rFonts w:ascii="Verdana" w:eastAsia="Calibri" w:hAnsi="Verdana" w:cs="Calibri"/>
          <w:b/>
          <w:bCs/>
          <w:sz w:val="20"/>
          <w:szCs w:val="20"/>
          <w:lang w:val="es-ES"/>
        </w:rPr>
        <w:t>0.000),</w:t>
      </w:r>
      <w:r w:rsidR="00951C68" w:rsidRPr="001A3FFD">
        <w:rPr>
          <w:rFonts w:ascii="Verdana" w:eastAsia="Calibri" w:hAnsi="Verdana" w:cs="Calibri"/>
          <w:sz w:val="20"/>
          <w:szCs w:val="20"/>
          <w:lang w:val="es-ES"/>
        </w:rPr>
        <w:t xml:space="preserve"> conforme a las propuestas presentadas. Las actividades financiadas fueron:</w:t>
      </w:r>
    </w:p>
    <w:p w14:paraId="5A66AB41" w14:textId="0D9CCB6A" w:rsidR="004F34C2" w:rsidRPr="004F34C2" w:rsidRDefault="004F34C2" w:rsidP="004F34C2">
      <w:pPr>
        <w:pStyle w:val="NormalWeb"/>
        <w:numPr>
          <w:ilvl w:val="2"/>
          <w:numId w:val="6"/>
        </w:numPr>
        <w:ind w:right="-801"/>
        <w:jc w:val="both"/>
        <w:rPr>
          <w:rFonts w:ascii="Verdana" w:eastAsia="Calibri" w:hAnsi="Verdana" w:cs="Calibri"/>
          <w:sz w:val="20"/>
          <w:szCs w:val="20"/>
          <w:lang w:val="es-ES"/>
        </w:rPr>
      </w:pPr>
      <w:r w:rsidRPr="004F34C2">
        <w:rPr>
          <w:rFonts w:ascii="Verdana" w:eastAsia="Calibri" w:hAnsi="Verdana" w:cs="Calibri"/>
          <w:sz w:val="20"/>
          <w:szCs w:val="20"/>
          <w:lang w:val="es-ES"/>
        </w:rPr>
        <w:t>Línea 1 acuerdo IT2-37: Relacionado con la</w:t>
      </w:r>
      <w:r>
        <w:rPr>
          <w:rFonts w:ascii="Verdana" w:eastAsia="Calibri" w:hAnsi="Verdana" w:cs="Calibri"/>
          <w:sz w:val="20"/>
          <w:szCs w:val="20"/>
          <w:lang w:val="es-ES"/>
        </w:rPr>
        <w:t xml:space="preserve"> </w:t>
      </w:r>
      <w:r w:rsidRPr="004F34C2">
        <w:rPr>
          <w:rFonts w:ascii="Verdana" w:eastAsia="Calibri" w:hAnsi="Verdana" w:cs="Calibri"/>
          <w:sz w:val="20"/>
          <w:szCs w:val="20"/>
          <w:lang w:val="es-ES"/>
        </w:rPr>
        <w:t>implementación de la Política Pública de</w:t>
      </w:r>
      <w:r>
        <w:rPr>
          <w:rFonts w:ascii="Verdana" w:eastAsia="Calibri" w:hAnsi="Verdana" w:cs="Calibri"/>
          <w:sz w:val="20"/>
          <w:szCs w:val="20"/>
          <w:lang w:val="es-ES"/>
        </w:rPr>
        <w:t xml:space="preserve"> </w:t>
      </w:r>
      <w:r w:rsidRPr="004F34C2">
        <w:rPr>
          <w:rFonts w:ascii="Verdana" w:eastAsia="Calibri" w:hAnsi="Verdana" w:cs="Calibri"/>
          <w:sz w:val="20"/>
          <w:szCs w:val="20"/>
          <w:lang w:val="es-ES"/>
        </w:rPr>
        <w:t>Comunicaciones de los Pueblos Indígenas, mediante el fortalecimiento de escuelas</w:t>
      </w:r>
      <w:r>
        <w:rPr>
          <w:rFonts w:ascii="Verdana" w:eastAsia="Calibri" w:hAnsi="Verdana" w:cs="Calibri"/>
          <w:sz w:val="20"/>
          <w:szCs w:val="20"/>
          <w:lang w:val="es-ES"/>
        </w:rPr>
        <w:t xml:space="preserve"> </w:t>
      </w:r>
      <w:r w:rsidRPr="004F34C2">
        <w:rPr>
          <w:rFonts w:ascii="Verdana" w:eastAsia="Calibri" w:hAnsi="Verdana" w:cs="Calibri"/>
          <w:sz w:val="20"/>
          <w:szCs w:val="20"/>
          <w:lang w:val="es-ES"/>
        </w:rPr>
        <w:t>propias de comunicación indígena. Realizar seis (6) escuelas y procesos de</w:t>
      </w:r>
      <w:r>
        <w:rPr>
          <w:rFonts w:ascii="Verdana" w:eastAsia="Calibri" w:hAnsi="Verdana" w:cs="Calibri"/>
          <w:sz w:val="20"/>
          <w:szCs w:val="20"/>
          <w:lang w:val="es-ES"/>
        </w:rPr>
        <w:t xml:space="preserve"> </w:t>
      </w:r>
      <w:r w:rsidRPr="004F34C2">
        <w:rPr>
          <w:rFonts w:ascii="Verdana" w:eastAsia="Calibri" w:hAnsi="Verdana" w:cs="Calibri"/>
          <w:sz w:val="20"/>
          <w:szCs w:val="20"/>
          <w:lang w:val="es-ES"/>
        </w:rPr>
        <w:t>formación en comunicación indígena de las organizaciones: ORGANIZACIÓN NACIONAL INDÍGENA DE COLOMBIA-ONIC, ORGANIZACIÓN NACIONAL DE LA AMAZONIA COLOMBIANA- OPIAC, CONFEDERACIÓN INDÍGENA TAYRONA-CIT, AUTORIDADES INDÍGENAS DE COLOMBIA-AICO, AUTORIDADES TRADICIONALES INDÍGENAS DE COLOMBIA GOBIERNO MAYOR, y CONSEJO REGIONAL INDÍGENA DEL CAUCA-CRIC, conforme al detalle de las actividades línea 1 – Acuerdo IT2-37.</w:t>
      </w:r>
    </w:p>
    <w:p w14:paraId="2A1F403A" w14:textId="11492617" w:rsidR="004F34C2" w:rsidRPr="004F34C2" w:rsidRDefault="004F34C2" w:rsidP="004F34C2">
      <w:pPr>
        <w:pStyle w:val="NormalWeb"/>
        <w:numPr>
          <w:ilvl w:val="2"/>
          <w:numId w:val="6"/>
        </w:numPr>
        <w:ind w:right="-801"/>
        <w:jc w:val="both"/>
        <w:rPr>
          <w:rFonts w:ascii="Verdana" w:eastAsia="Calibri" w:hAnsi="Verdana" w:cs="Calibri"/>
          <w:sz w:val="20"/>
          <w:szCs w:val="20"/>
          <w:lang w:val="es-ES"/>
        </w:rPr>
      </w:pPr>
      <w:r w:rsidRPr="004F34C2">
        <w:rPr>
          <w:rFonts w:ascii="Verdana" w:eastAsia="Calibri" w:hAnsi="Verdana" w:cs="Calibri"/>
          <w:sz w:val="20"/>
          <w:szCs w:val="20"/>
          <w:lang w:val="es-ES"/>
        </w:rPr>
        <w:t>Línea 2: acuerdo IT2-40: Relacionado con la formulación e implementación de la Política Pública de patrimonio Audiovisual de los Pueblos Indígenas-PACCPI-. Se realizará la implementación de la Fase de Alistamiento de la Ruta concertada en la CONCIP con las organizaciones: ORGANIZACIÓN NACIONAL INDÍGENA DE COLOMBIA-ONIC, ORGANIZACIÓN NACIONAL DE LA AMAZONIA COLOMBIANA- OPIAC, CONFEDERACIÓN INDÍGENA TAYRONA-CIT, AUTORIDADES INDÍGENAS DE COLOMBIA- AICO, AUTORIDADES TRADICIONALES INDÍGENAS DE COLOMBIA GOBIERNO MAYOR, y CONSEJO REGIONAL INDÍGENA DEL CAUCA- CRIC, para la formulación de la Política Pública</w:t>
      </w:r>
      <w:r>
        <w:rPr>
          <w:rFonts w:ascii="Verdana" w:eastAsia="Calibri" w:hAnsi="Verdana" w:cs="Calibri"/>
          <w:sz w:val="20"/>
          <w:szCs w:val="20"/>
          <w:lang w:val="es-ES"/>
        </w:rPr>
        <w:t xml:space="preserve"> </w:t>
      </w:r>
      <w:r w:rsidRPr="004F34C2">
        <w:rPr>
          <w:rFonts w:ascii="Verdana" w:eastAsia="Calibri" w:hAnsi="Verdana" w:cs="Calibri"/>
          <w:sz w:val="20"/>
          <w:szCs w:val="20"/>
          <w:lang w:val="es-ES"/>
        </w:rPr>
        <w:t>de Patrimonio Audiovisual de los Pueblos</w:t>
      </w:r>
      <w:r>
        <w:rPr>
          <w:rFonts w:ascii="Verdana" w:eastAsia="Calibri" w:hAnsi="Verdana" w:cs="Calibri"/>
          <w:sz w:val="20"/>
          <w:szCs w:val="20"/>
          <w:lang w:val="es-ES"/>
        </w:rPr>
        <w:t xml:space="preserve"> </w:t>
      </w:r>
      <w:r w:rsidRPr="004F34C2">
        <w:rPr>
          <w:rFonts w:ascii="Verdana" w:eastAsia="Calibri" w:hAnsi="Verdana" w:cs="Calibri"/>
          <w:sz w:val="20"/>
          <w:szCs w:val="20"/>
          <w:lang w:val="es-ES"/>
        </w:rPr>
        <w:t>Indígenas - PACCPI, conforme al detalle de las actividades LÍNEA 2 - Acuerdo IT2-40</w:t>
      </w:r>
    </w:p>
    <w:p w14:paraId="05B60772" w14:textId="021878E2" w:rsidR="004F34C2" w:rsidRDefault="004F34C2" w:rsidP="004F34C2">
      <w:pPr>
        <w:pStyle w:val="NormalWeb"/>
        <w:numPr>
          <w:ilvl w:val="2"/>
          <w:numId w:val="6"/>
        </w:numPr>
        <w:ind w:right="-801"/>
        <w:jc w:val="both"/>
        <w:rPr>
          <w:rFonts w:ascii="Verdana" w:eastAsia="Calibri" w:hAnsi="Verdana" w:cs="Calibri"/>
          <w:sz w:val="20"/>
          <w:szCs w:val="20"/>
          <w:lang w:val="es-ES"/>
        </w:rPr>
      </w:pPr>
      <w:r w:rsidRPr="004F34C2">
        <w:rPr>
          <w:rFonts w:ascii="Verdana" w:eastAsia="Calibri" w:hAnsi="Verdana" w:cs="Calibri"/>
          <w:sz w:val="20"/>
          <w:szCs w:val="20"/>
          <w:lang w:val="es-ES"/>
        </w:rPr>
        <w:lastRenderedPageBreak/>
        <w:t>Logística de las actividades.</w:t>
      </w:r>
    </w:p>
    <w:p w14:paraId="0B851701" w14:textId="7A1F5901" w:rsidR="00EA679A" w:rsidRPr="001A3FFD" w:rsidRDefault="00EA679A" w:rsidP="00EA679A">
      <w:pPr>
        <w:pStyle w:val="NormalWeb"/>
        <w:numPr>
          <w:ilvl w:val="2"/>
          <w:numId w:val="4"/>
        </w:numPr>
        <w:ind w:left="0" w:right="-801" w:hanging="425"/>
        <w:jc w:val="both"/>
        <w:rPr>
          <w:rFonts w:ascii="Verdana" w:eastAsia="Calibri" w:hAnsi="Verdana" w:cs="Calibri"/>
          <w:b/>
          <w:bCs/>
          <w:sz w:val="20"/>
          <w:szCs w:val="20"/>
          <w:lang w:val="es-ES"/>
        </w:rPr>
      </w:pPr>
      <w:r w:rsidRPr="001A3FFD">
        <w:rPr>
          <w:rFonts w:ascii="Verdana" w:eastAsia="Calibri" w:hAnsi="Verdana" w:cs="Calibri"/>
          <w:b/>
          <w:bCs/>
          <w:sz w:val="20"/>
          <w:szCs w:val="20"/>
          <w:lang w:val="es-ES"/>
        </w:rPr>
        <w:t>Valor del Contrato</w:t>
      </w:r>
    </w:p>
    <w:p w14:paraId="0BD0312C" w14:textId="46DBD409" w:rsidR="00EA679A" w:rsidRPr="001A3FFD" w:rsidRDefault="00EA679A" w:rsidP="00BE3B2F">
      <w:pPr>
        <w:pStyle w:val="Prrafodelista"/>
        <w:spacing w:after="240"/>
        <w:ind w:left="0" w:right="-801"/>
        <w:jc w:val="both"/>
        <w:rPr>
          <w:rFonts w:ascii="Verdana" w:eastAsia="Verdana" w:hAnsi="Verdana" w:cs="Verdana"/>
          <w:sz w:val="20"/>
          <w:szCs w:val="20"/>
        </w:rPr>
      </w:pPr>
      <w:r w:rsidRPr="001A3FFD">
        <w:rPr>
          <w:rFonts w:ascii="Verdana" w:eastAsia="Verdana" w:hAnsi="Verdana" w:cs="Verdana"/>
          <w:sz w:val="20"/>
          <w:szCs w:val="20"/>
        </w:rPr>
        <w:t xml:space="preserve">El valor total del presente contrato es de </w:t>
      </w:r>
      <w:r w:rsidR="004F34C2" w:rsidRPr="004F34C2">
        <w:rPr>
          <w:rFonts w:ascii="Verdana" w:eastAsiaTheme="minorEastAsia" w:hAnsi="Verdana" w:cstheme="minorBidi"/>
          <w:b/>
          <w:bCs/>
          <w:sz w:val="20"/>
          <w:szCs w:val="20"/>
        </w:rPr>
        <w:t>SETECIENTOS SETENTA MILLONES PESOS</w:t>
      </w:r>
      <w:r w:rsidR="004F34C2">
        <w:rPr>
          <w:rFonts w:ascii="Verdana" w:eastAsiaTheme="minorEastAsia" w:hAnsi="Verdana" w:cstheme="minorBidi"/>
          <w:b/>
          <w:bCs/>
          <w:sz w:val="20"/>
          <w:szCs w:val="20"/>
        </w:rPr>
        <w:t xml:space="preserve"> </w:t>
      </w:r>
      <w:r w:rsidRPr="004F34C2">
        <w:rPr>
          <w:rFonts w:ascii="Verdana" w:eastAsia="Verdana" w:hAnsi="Verdana" w:cs="Verdana"/>
          <w:b/>
          <w:bCs/>
          <w:sz w:val="20"/>
          <w:szCs w:val="20"/>
        </w:rPr>
        <w:t>M/CTE</w:t>
      </w:r>
      <w:r w:rsidRPr="001A3FFD">
        <w:rPr>
          <w:rFonts w:ascii="Verdana" w:eastAsia="Verdana" w:hAnsi="Verdana" w:cs="Verdana"/>
          <w:sz w:val="20"/>
          <w:szCs w:val="20"/>
        </w:rPr>
        <w:t xml:space="preserve"> </w:t>
      </w:r>
      <w:r w:rsidRPr="001A3FFD">
        <w:rPr>
          <w:rFonts w:ascii="Verdana" w:eastAsia="Verdana" w:hAnsi="Verdana" w:cs="Verdana"/>
          <w:b/>
          <w:bCs/>
          <w:sz w:val="20"/>
          <w:szCs w:val="20"/>
        </w:rPr>
        <w:t>($</w:t>
      </w:r>
      <w:r w:rsidR="004F34C2">
        <w:rPr>
          <w:rFonts w:ascii="Verdana" w:eastAsia="Verdana" w:hAnsi="Verdana" w:cs="Verdana"/>
          <w:b/>
          <w:bCs/>
          <w:sz w:val="20"/>
          <w:szCs w:val="20"/>
        </w:rPr>
        <w:t>770</w:t>
      </w:r>
      <w:r w:rsidRPr="001A3FFD">
        <w:rPr>
          <w:rFonts w:ascii="Verdana" w:eastAsia="Verdana" w:hAnsi="Verdana" w:cs="Verdana"/>
          <w:b/>
          <w:bCs/>
          <w:sz w:val="20"/>
          <w:szCs w:val="20"/>
        </w:rPr>
        <w:t>.000.000)</w:t>
      </w:r>
      <w:r w:rsidRPr="001A3FFD">
        <w:rPr>
          <w:rFonts w:ascii="Verdana" w:eastAsia="Verdana" w:hAnsi="Verdana" w:cs="Verdana"/>
          <w:sz w:val="20"/>
          <w:szCs w:val="20"/>
        </w:rPr>
        <w:t>., discriminados de la siguiente manera:</w:t>
      </w:r>
    </w:p>
    <w:p w14:paraId="733ECC86" w14:textId="77777777" w:rsidR="00BE3B2F" w:rsidRDefault="00BE3B2F" w:rsidP="00BE3B2F">
      <w:pPr>
        <w:pStyle w:val="Prrafodelista"/>
        <w:ind w:left="708" w:right="-801"/>
        <w:jc w:val="both"/>
        <w:rPr>
          <w:rFonts w:ascii="Verdana" w:eastAsia="Verdana" w:hAnsi="Verdana" w:cs="Verdana"/>
          <w:sz w:val="20"/>
          <w:szCs w:val="20"/>
        </w:rPr>
      </w:pPr>
    </w:p>
    <w:p w14:paraId="30E5492D" w14:textId="13E50D13" w:rsidR="00EA679A" w:rsidRPr="001A3FFD" w:rsidRDefault="00EA679A" w:rsidP="00BE3B2F">
      <w:pPr>
        <w:pStyle w:val="Prrafodelista"/>
        <w:numPr>
          <w:ilvl w:val="0"/>
          <w:numId w:val="20"/>
        </w:numPr>
        <w:ind w:left="709" w:right="-801"/>
        <w:jc w:val="both"/>
        <w:rPr>
          <w:rFonts w:ascii="Verdana" w:eastAsiaTheme="minorEastAsia" w:hAnsi="Verdana" w:cstheme="minorBidi"/>
          <w:b/>
          <w:bCs/>
          <w:sz w:val="20"/>
          <w:szCs w:val="20"/>
        </w:rPr>
      </w:pPr>
      <w:r w:rsidRPr="001A3FFD">
        <w:rPr>
          <w:rFonts w:ascii="Verdana" w:eastAsia="Verdana" w:hAnsi="Verdana" w:cs="Verdana"/>
          <w:sz w:val="20"/>
          <w:szCs w:val="20"/>
        </w:rPr>
        <w:t xml:space="preserve">El </w:t>
      </w:r>
      <w:r w:rsidRPr="001A3FFD">
        <w:rPr>
          <w:rFonts w:ascii="Verdana" w:eastAsia="Verdana" w:hAnsi="Verdana" w:cs="Verdana"/>
          <w:b/>
          <w:bCs/>
          <w:sz w:val="20"/>
          <w:szCs w:val="20"/>
        </w:rPr>
        <w:t>MINISTERIO DE LAS CULTURAS, LAS ARTES Y LOS SABERES</w:t>
      </w:r>
      <w:r w:rsidRPr="001A3FFD">
        <w:rPr>
          <w:rFonts w:ascii="Verdana" w:eastAsia="Verdana" w:hAnsi="Verdana" w:cs="Verdana"/>
          <w:sz w:val="20"/>
          <w:szCs w:val="20"/>
        </w:rPr>
        <w:t xml:space="preserve"> aportará en dinero la suma de </w:t>
      </w:r>
      <w:r w:rsidR="004F34C2" w:rsidRPr="004F34C2">
        <w:rPr>
          <w:rFonts w:ascii="Verdana" w:eastAsiaTheme="minorEastAsia" w:hAnsi="Verdana" w:cstheme="minorBidi"/>
          <w:b/>
          <w:bCs/>
          <w:sz w:val="20"/>
          <w:szCs w:val="20"/>
        </w:rPr>
        <w:t>SETECIENTOS</w:t>
      </w:r>
      <w:r w:rsidR="004F34C2">
        <w:rPr>
          <w:rFonts w:ascii="Verdana" w:eastAsiaTheme="minorEastAsia" w:hAnsi="Verdana" w:cstheme="minorBidi"/>
          <w:b/>
          <w:bCs/>
          <w:sz w:val="20"/>
          <w:szCs w:val="20"/>
        </w:rPr>
        <w:t xml:space="preserve"> </w:t>
      </w:r>
      <w:r w:rsidR="004F34C2" w:rsidRPr="004F34C2">
        <w:rPr>
          <w:rFonts w:ascii="Verdana" w:eastAsiaTheme="minorEastAsia" w:hAnsi="Verdana" w:cstheme="minorBidi"/>
          <w:b/>
          <w:bCs/>
          <w:sz w:val="20"/>
          <w:szCs w:val="20"/>
        </w:rPr>
        <w:t>MILLONES PESOS</w:t>
      </w:r>
      <w:r w:rsidR="004F34C2">
        <w:rPr>
          <w:rFonts w:ascii="Verdana" w:eastAsiaTheme="minorEastAsia" w:hAnsi="Verdana" w:cstheme="minorBidi"/>
          <w:b/>
          <w:bCs/>
          <w:sz w:val="20"/>
          <w:szCs w:val="20"/>
        </w:rPr>
        <w:t xml:space="preserve"> </w:t>
      </w:r>
      <w:r w:rsidR="004F34C2" w:rsidRPr="004F34C2">
        <w:rPr>
          <w:rFonts w:ascii="Verdana" w:eastAsia="Verdana" w:hAnsi="Verdana" w:cs="Verdana"/>
          <w:b/>
          <w:bCs/>
          <w:sz w:val="20"/>
          <w:szCs w:val="20"/>
        </w:rPr>
        <w:t>M/CTE</w:t>
      </w:r>
      <w:r w:rsidR="004F34C2" w:rsidRPr="001A3FFD">
        <w:rPr>
          <w:rFonts w:ascii="Verdana" w:eastAsia="Verdana" w:hAnsi="Verdana" w:cs="Verdana"/>
          <w:sz w:val="20"/>
          <w:szCs w:val="20"/>
        </w:rPr>
        <w:t xml:space="preserve"> </w:t>
      </w:r>
      <w:r w:rsidR="004F34C2" w:rsidRPr="001A3FFD">
        <w:rPr>
          <w:rFonts w:ascii="Verdana" w:eastAsia="Verdana" w:hAnsi="Verdana" w:cs="Verdana"/>
          <w:b/>
          <w:bCs/>
          <w:sz w:val="20"/>
          <w:szCs w:val="20"/>
        </w:rPr>
        <w:t>($</w:t>
      </w:r>
      <w:r w:rsidR="004F34C2">
        <w:rPr>
          <w:rFonts w:ascii="Verdana" w:eastAsia="Verdana" w:hAnsi="Verdana" w:cs="Verdana"/>
          <w:b/>
          <w:bCs/>
          <w:sz w:val="20"/>
          <w:szCs w:val="20"/>
        </w:rPr>
        <w:t>700</w:t>
      </w:r>
      <w:r w:rsidR="004F34C2" w:rsidRPr="001A3FFD">
        <w:rPr>
          <w:rFonts w:ascii="Verdana" w:eastAsia="Verdana" w:hAnsi="Verdana" w:cs="Verdana"/>
          <w:b/>
          <w:bCs/>
          <w:sz w:val="20"/>
          <w:szCs w:val="20"/>
        </w:rPr>
        <w:t>.000.000)</w:t>
      </w:r>
      <w:r w:rsidR="004F34C2" w:rsidRPr="001A3FFD">
        <w:rPr>
          <w:rFonts w:ascii="Verdana" w:eastAsia="Verdana" w:hAnsi="Verdana" w:cs="Verdana"/>
          <w:sz w:val="20"/>
          <w:szCs w:val="20"/>
        </w:rPr>
        <w:t>.,</w:t>
      </w:r>
    </w:p>
    <w:p w14:paraId="7ADDC512" w14:textId="77777777" w:rsidR="00BE3B2F" w:rsidRPr="00BE3B2F" w:rsidRDefault="00BE3B2F" w:rsidP="00BE3B2F">
      <w:pPr>
        <w:pStyle w:val="Prrafodelista"/>
        <w:ind w:left="709" w:right="-801"/>
        <w:jc w:val="both"/>
        <w:rPr>
          <w:rFonts w:ascii="Verdana" w:eastAsia="Calibri" w:hAnsi="Verdana" w:cs="Calibri"/>
          <w:b/>
          <w:bCs/>
          <w:sz w:val="20"/>
          <w:szCs w:val="20"/>
        </w:rPr>
      </w:pPr>
    </w:p>
    <w:p w14:paraId="03DC5140" w14:textId="7303FBBF" w:rsidR="00EA679A" w:rsidRPr="001A3FFD" w:rsidRDefault="00EA679A" w:rsidP="00BE3B2F">
      <w:pPr>
        <w:pStyle w:val="Prrafodelista"/>
        <w:numPr>
          <w:ilvl w:val="0"/>
          <w:numId w:val="20"/>
        </w:numPr>
        <w:ind w:left="709" w:right="-801"/>
        <w:jc w:val="both"/>
        <w:rPr>
          <w:rFonts w:ascii="Verdana" w:eastAsia="Calibri" w:hAnsi="Verdana" w:cs="Calibri"/>
          <w:b/>
          <w:bCs/>
          <w:sz w:val="20"/>
          <w:szCs w:val="20"/>
        </w:rPr>
      </w:pPr>
      <w:r w:rsidRPr="001A3FFD">
        <w:rPr>
          <w:rFonts w:ascii="Verdana" w:hAnsi="Verdana"/>
          <w:sz w:val="20"/>
          <w:szCs w:val="20"/>
        </w:rPr>
        <w:t xml:space="preserve">El </w:t>
      </w:r>
      <w:r w:rsidR="004F34C2">
        <w:rPr>
          <w:rFonts w:ascii="Verdana" w:hAnsi="Verdana"/>
          <w:b/>
          <w:bCs/>
          <w:sz w:val="20"/>
          <w:szCs w:val="20"/>
        </w:rPr>
        <w:t xml:space="preserve">ASOCIADO </w:t>
      </w:r>
      <w:r w:rsidRPr="001A3FFD">
        <w:rPr>
          <w:rFonts w:ascii="Verdana" w:hAnsi="Verdana"/>
          <w:sz w:val="20"/>
          <w:szCs w:val="20"/>
        </w:rPr>
        <w:t xml:space="preserve">aportará en especie la suma de </w:t>
      </w:r>
      <w:r w:rsidR="004F34C2">
        <w:rPr>
          <w:rFonts w:ascii="Verdana" w:eastAsia="Calibri" w:hAnsi="Verdana" w:cs="Calibri"/>
          <w:b/>
          <w:bCs/>
          <w:sz w:val="20"/>
          <w:szCs w:val="20"/>
        </w:rPr>
        <w:t xml:space="preserve">SETENTA MILLONES DE </w:t>
      </w:r>
      <w:r w:rsidRPr="001A3FFD">
        <w:rPr>
          <w:rFonts w:ascii="Verdana" w:eastAsia="Calibri" w:hAnsi="Verdana" w:cs="Calibri"/>
          <w:b/>
          <w:bCs/>
          <w:sz w:val="20"/>
          <w:szCs w:val="20"/>
        </w:rPr>
        <w:t>PESOS M/CTE ($</w:t>
      </w:r>
      <w:r w:rsidR="004F34C2">
        <w:rPr>
          <w:rFonts w:ascii="Verdana" w:eastAsia="Calibri" w:hAnsi="Verdana" w:cs="Calibri"/>
          <w:b/>
          <w:bCs/>
          <w:sz w:val="20"/>
          <w:szCs w:val="20"/>
        </w:rPr>
        <w:t>70</w:t>
      </w:r>
      <w:r w:rsidRPr="001A3FFD">
        <w:rPr>
          <w:rFonts w:ascii="Verdana" w:eastAsia="Calibri" w:hAnsi="Verdana" w:cs="Calibri"/>
          <w:b/>
          <w:bCs/>
          <w:sz w:val="20"/>
          <w:szCs w:val="20"/>
        </w:rPr>
        <w:t>.</w:t>
      </w:r>
      <w:r w:rsidR="004F34C2">
        <w:rPr>
          <w:rFonts w:ascii="Verdana" w:eastAsia="Calibri" w:hAnsi="Verdana" w:cs="Calibri"/>
          <w:b/>
          <w:bCs/>
          <w:sz w:val="20"/>
          <w:szCs w:val="20"/>
        </w:rPr>
        <w:t>0</w:t>
      </w:r>
      <w:r w:rsidRPr="001A3FFD">
        <w:rPr>
          <w:rFonts w:ascii="Verdana" w:eastAsia="Calibri" w:hAnsi="Verdana" w:cs="Calibri"/>
          <w:b/>
          <w:bCs/>
          <w:sz w:val="20"/>
          <w:szCs w:val="20"/>
        </w:rPr>
        <w:t>00.000).</w:t>
      </w:r>
    </w:p>
    <w:p w14:paraId="63D0B543" w14:textId="77777777" w:rsidR="004F34C2" w:rsidRDefault="00EA679A" w:rsidP="004F34C2">
      <w:pPr>
        <w:pStyle w:val="NormalWeb"/>
        <w:ind w:right="-801"/>
        <w:jc w:val="both"/>
        <w:rPr>
          <w:rFonts w:ascii="Verdana" w:eastAsiaTheme="minorEastAsia" w:hAnsi="Verdana" w:cstheme="minorBidi"/>
          <w:sz w:val="20"/>
          <w:szCs w:val="20"/>
        </w:rPr>
      </w:pPr>
      <w:r w:rsidRPr="001A3FFD">
        <w:rPr>
          <w:rFonts w:ascii="Verdana" w:eastAsiaTheme="minorEastAsia" w:hAnsi="Verdana" w:cstheme="minorBidi"/>
          <w:sz w:val="20"/>
          <w:szCs w:val="20"/>
        </w:rPr>
        <w:t>El valor total del contrato y la distribución de los aportes entre las partes permiten garantizar la viabilidad técnica y financiera del proyecto, en concordancia con los objetivos misionales del Ministerio</w:t>
      </w:r>
      <w:r w:rsidR="004F34C2">
        <w:rPr>
          <w:rFonts w:ascii="Verdana" w:eastAsiaTheme="minorEastAsia" w:hAnsi="Verdana" w:cstheme="minorBidi"/>
          <w:sz w:val="20"/>
          <w:szCs w:val="20"/>
        </w:rPr>
        <w:t>.</w:t>
      </w:r>
    </w:p>
    <w:p w14:paraId="74BD9281" w14:textId="4850EE3F" w:rsidR="00DD4A38" w:rsidRPr="001A3FFD" w:rsidRDefault="00742E80" w:rsidP="004F34C2">
      <w:pPr>
        <w:pStyle w:val="NormalWeb"/>
        <w:ind w:right="-801"/>
        <w:jc w:val="both"/>
        <w:rPr>
          <w:rFonts w:ascii="Verdana" w:eastAsiaTheme="minorEastAsia" w:hAnsi="Verdana" w:cstheme="minorBidi"/>
          <w:sz w:val="20"/>
          <w:szCs w:val="20"/>
        </w:rPr>
      </w:pPr>
      <w:r w:rsidRPr="001A3FFD">
        <w:rPr>
          <w:rFonts w:ascii="Verdana" w:eastAsiaTheme="minorEastAsia" w:hAnsi="Verdana" w:cstheme="minorBidi"/>
          <w:sz w:val="20"/>
          <w:szCs w:val="20"/>
        </w:rPr>
        <w:t xml:space="preserve">Para la ejecución del presente contrato, el Ministerio ha establecido, con base en antecedentes históricos, </w:t>
      </w:r>
      <w:r w:rsidR="00DD4A38" w:rsidRPr="001A3FFD">
        <w:rPr>
          <w:rFonts w:ascii="Verdana" w:eastAsiaTheme="minorEastAsia" w:hAnsi="Verdana" w:cstheme="minorBidi"/>
          <w:sz w:val="20"/>
          <w:szCs w:val="20"/>
        </w:rPr>
        <w:t>un análisis de la siguiente manera:</w:t>
      </w:r>
    </w:p>
    <w:p w14:paraId="38BA0EC3" w14:textId="77777777" w:rsidR="00DD4A38" w:rsidRPr="001A3FFD" w:rsidRDefault="00DD4A38" w:rsidP="00DD4A38">
      <w:pPr>
        <w:pStyle w:val="NormalWeb"/>
        <w:numPr>
          <w:ilvl w:val="0"/>
          <w:numId w:val="16"/>
        </w:numPr>
        <w:ind w:right="-801"/>
        <w:jc w:val="both"/>
        <w:rPr>
          <w:rFonts w:ascii="Verdana" w:eastAsiaTheme="minorEastAsia" w:hAnsi="Verdana" w:cstheme="minorBidi"/>
          <w:b/>
          <w:bCs/>
          <w:sz w:val="20"/>
          <w:szCs w:val="20"/>
          <w:lang w:val="es-ES"/>
        </w:rPr>
      </w:pPr>
      <w:r w:rsidRPr="001A3FFD">
        <w:rPr>
          <w:rFonts w:ascii="Verdana" w:eastAsiaTheme="minorEastAsia" w:hAnsi="Verdana" w:cstheme="minorBidi"/>
          <w:b/>
          <w:bCs/>
          <w:sz w:val="20"/>
          <w:szCs w:val="20"/>
          <w:lang w:val="es-ES"/>
        </w:rPr>
        <w:t>Análisis estadístico de históricos de convenios (2023–2025)</w:t>
      </w:r>
    </w:p>
    <w:p w14:paraId="444BA0AA" w14:textId="5543A936" w:rsidR="00DD4A38" w:rsidRPr="001A3FFD" w:rsidRDefault="00DD4A38" w:rsidP="00DD4A38">
      <w:pPr>
        <w:pStyle w:val="NormalWeb"/>
        <w:numPr>
          <w:ilvl w:val="1"/>
          <w:numId w:val="16"/>
        </w:numPr>
        <w:ind w:right="-801"/>
        <w:jc w:val="both"/>
        <w:rPr>
          <w:rFonts w:ascii="Verdana" w:eastAsiaTheme="minorEastAsia" w:hAnsi="Verdana" w:cstheme="minorBidi"/>
          <w:sz w:val="20"/>
          <w:szCs w:val="20"/>
          <w:lang w:val="es-ES"/>
        </w:rPr>
      </w:pPr>
      <w:r w:rsidRPr="001A3FFD">
        <w:rPr>
          <w:rFonts w:ascii="Verdana" w:eastAsiaTheme="minorEastAsia" w:hAnsi="Verdana" w:cstheme="minorBidi"/>
          <w:sz w:val="20"/>
          <w:szCs w:val="20"/>
          <w:lang w:val="es-ES"/>
        </w:rPr>
        <w:t>Valores históricos analizados</w:t>
      </w:r>
    </w:p>
    <w:tbl>
      <w:tblPr>
        <w:tblStyle w:val="Tablaconcuadrculaclara"/>
        <w:tblW w:w="0" w:type="auto"/>
        <w:jc w:val="center"/>
        <w:tblLook w:val="04A0" w:firstRow="1" w:lastRow="0" w:firstColumn="1" w:lastColumn="0" w:noHBand="0" w:noVBand="1"/>
      </w:tblPr>
      <w:tblGrid>
        <w:gridCol w:w="725"/>
        <w:gridCol w:w="3486"/>
        <w:gridCol w:w="3129"/>
      </w:tblGrid>
      <w:tr w:rsidR="00DD4A38" w:rsidRPr="00DD4A38" w14:paraId="0DCE8EB5" w14:textId="77777777" w:rsidTr="00DD4A38">
        <w:trPr>
          <w:jc w:val="center"/>
        </w:trPr>
        <w:tc>
          <w:tcPr>
            <w:tcW w:w="0" w:type="auto"/>
            <w:hideMark/>
          </w:tcPr>
          <w:p w14:paraId="4E6C645F" w14:textId="77777777" w:rsidR="00DD4A38" w:rsidRPr="00DD4A38" w:rsidRDefault="00DD4A38" w:rsidP="00DD4A38">
            <w:pPr>
              <w:jc w:val="center"/>
              <w:rPr>
                <w:rFonts w:ascii="Verdana" w:hAnsi="Verdana"/>
                <w:b/>
                <w:bCs/>
                <w:sz w:val="20"/>
                <w:szCs w:val="20"/>
                <w:lang w:eastAsia="zh-CN"/>
              </w:rPr>
            </w:pPr>
            <w:r w:rsidRPr="00DD4A38">
              <w:rPr>
                <w:rFonts w:ascii="Verdana" w:hAnsi="Verdana"/>
                <w:b/>
                <w:bCs/>
                <w:sz w:val="20"/>
                <w:szCs w:val="20"/>
                <w:lang w:eastAsia="zh-CN"/>
              </w:rPr>
              <w:t>Año</w:t>
            </w:r>
          </w:p>
        </w:tc>
        <w:tc>
          <w:tcPr>
            <w:tcW w:w="0" w:type="auto"/>
            <w:hideMark/>
          </w:tcPr>
          <w:p w14:paraId="2F535E97" w14:textId="77777777" w:rsidR="00DD4A38" w:rsidRPr="00DD4A38" w:rsidRDefault="00DD4A38" w:rsidP="00DD4A38">
            <w:pPr>
              <w:jc w:val="center"/>
              <w:rPr>
                <w:rFonts w:ascii="Verdana" w:hAnsi="Verdana"/>
                <w:b/>
                <w:bCs/>
                <w:sz w:val="20"/>
                <w:szCs w:val="20"/>
                <w:lang w:eastAsia="zh-CN"/>
              </w:rPr>
            </w:pPr>
            <w:r w:rsidRPr="00DD4A38">
              <w:rPr>
                <w:rFonts w:ascii="Verdana" w:hAnsi="Verdana"/>
                <w:b/>
                <w:bCs/>
                <w:sz w:val="20"/>
                <w:szCs w:val="20"/>
                <w:lang w:eastAsia="zh-CN"/>
              </w:rPr>
              <w:t>Valor Presupuesto Oficial ($)</w:t>
            </w:r>
          </w:p>
        </w:tc>
        <w:tc>
          <w:tcPr>
            <w:tcW w:w="0" w:type="auto"/>
            <w:hideMark/>
          </w:tcPr>
          <w:p w14:paraId="2C6084AC" w14:textId="77777777" w:rsidR="00DD4A38" w:rsidRPr="00DD4A38" w:rsidRDefault="00DD4A38" w:rsidP="00DD4A38">
            <w:pPr>
              <w:jc w:val="center"/>
              <w:rPr>
                <w:rFonts w:ascii="Verdana" w:hAnsi="Verdana"/>
                <w:b/>
                <w:bCs/>
                <w:sz w:val="20"/>
                <w:szCs w:val="20"/>
                <w:lang w:eastAsia="zh-CN"/>
              </w:rPr>
            </w:pPr>
            <w:r w:rsidRPr="00DD4A38">
              <w:rPr>
                <w:rFonts w:ascii="Verdana" w:hAnsi="Verdana"/>
                <w:b/>
                <w:bCs/>
                <w:sz w:val="20"/>
                <w:szCs w:val="20"/>
                <w:lang w:eastAsia="zh-CN"/>
              </w:rPr>
              <w:t>% Costos Administrativos</w:t>
            </w:r>
          </w:p>
        </w:tc>
      </w:tr>
      <w:tr w:rsidR="00DD4A38" w:rsidRPr="00DD4A38" w14:paraId="0E69B2CA" w14:textId="77777777" w:rsidTr="00DD4A38">
        <w:trPr>
          <w:jc w:val="center"/>
        </w:trPr>
        <w:tc>
          <w:tcPr>
            <w:tcW w:w="0" w:type="auto"/>
            <w:hideMark/>
          </w:tcPr>
          <w:p w14:paraId="48456F86" w14:textId="20253F07" w:rsidR="00DD4A38" w:rsidRPr="00DD4A38" w:rsidRDefault="00DD4A38" w:rsidP="00DD4A38">
            <w:pPr>
              <w:rPr>
                <w:rFonts w:ascii="Verdana" w:hAnsi="Verdana"/>
                <w:sz w:val="20"/>
                <w:szCs w:val="20"/>
                <w:lang w:eastAsia="zh-CN"/>
              </w:rPr>
            </w:pPr>
            <w:r w:rsidRPr="00DD4A38">
              <w:rPr>
                <w:rFonts w:ascii="Verdana" w:hAnsi="Verdana"/>
                <w:sz w:val="20"/>
                <w:szCs w:val="20"/>
                <w:lang w:eastAsia="zh-CN"/>
              </w:rPr>
              <w:t>202</w:t>
            </w:r>
            <w:r w:rsidR="004F34C2">
              <w:rPr>
                <w:rFonts w:ascii="Verdana" w:hAnsi="Verdana"/>
                <w:sz w:val="20"/>
                <w:szCs w:val="20"/>
                <w:lang w:eastAsia="zh-CN"/>
              </w:rPr>
              <w:t>4</w:t>
            </w:r>
          </w:p>
        </w:tc>
        <w:tc>
          <w:tcPr>
            <w:tcW w:w="0" w:type="auto"/>
            <w:hideMark/>
          </w:tcPr>
          <w:p w14:paraId="2AD4433E" w14:textId="424814CD" w:rsidR="00DD4A38" w:rsidRPr="00DD4A38" w:rsidRDefault="004F34C2" w:rsidP="00DD4A38">
            <w:pPr>
              <w:rPr>
                <w:rFonts w:ascii="Verdana" w:hAnsi="Verdana"/>
                <w:sz w:val="20"/>
                <w:szCs w:val="20"/>
                <w:lang w:eastAsia="zh-CN"/>
              </w:rPr>
            </w:pPr>
            <w:r>
              <w:rPr>
                <w:rFonts w:ascii="Verdana" w:hAnsi="Verdana"/>
                <w:sz w:val="20"/>
                <w:szCs w:val="20"/>
                <w:lang w:eastAsia="zh-CN"/>
              </w:rPr>
              <w:t>1.175</w:t>
            </w:r>
            <w:r w:rsidR="00DD4A38" w:rsidRPr="00DD4A38">
              <w:rPr>
                <w:rFonts w:ascii="Verdana" w:hAnsi="Verdana"/>
                <w:sz w:val="20"/>
                <w:szCs w:val="20"/>
                <w:lang w:eastAsia="zh-CN"/>
              </w:rPr>
              <w:t>.000.000</w:t>
            </w:r>
          </w:p>
        </w:tc>
        <w:tc>
          <w:tcPr>
            <w:tcW w:w="0" w:type="auto"/>
            <w:hideMark/>
          </w:tcPr>
          <w:p w14:paraId="2C247A04" w14:textId="7A8EA9B1" w:rsidR="00DD4A38" w:rsidRPr="00DD4A38" w:rsidRDefault="004F34C2" w:rsidP="00DD4A38">
            <w:pPr>
              <w:rPr>
                <w:rFonts w:ascii="Verdana" w:hAnsi="Verdana"/>
                <w:sz w:val="20"/>
                <w:szCs w:val="20"/>
                <w:lang w:eastAsia="zh-CN"/>
              </w:rPr>
            </w:pPr>
            <w:r>
              <w:rPr>
                <w:rFonts w:ascii="Verdana" w:hAnsi="Verdana"/>
                <w:sz w:val="20"/>
                <w:szCs w:val="20"/>
                <w:lang w:eastAsia="zh-CN"/>
              </w:rPr>
              <w:t>7</w:t>
            </w:r>
            <w:r w:rsidR="00DD4A38" w:rsidRPr="00DD4A38">
              <w:rPr>
                <w:rFonts w:ascii="Verdana" w:hAnsi="Verdana"/>
                <w:sz w:val="20"/>
                <w:szCs w:val="20"/>
                <w:lang w:eastAsia="zh-CN"/>
              </w:rPr>
              <w:t>,</w:t>
            </w:r>
            <w:r>
              <w:rPr>
                <w:rFonts w:ascii="Verdana" w:hAnsi="Verdana"/>
                <w:sz w:val="20"/>
                <w:szCs w:val="20"/>
                <w:lang w:eastAsia="zh-CN"/>
              </w:rPr>
              <w:t>5</w:t>
            </w:r>
            <w:r w:rsidR="00DD4A38" w:rsidRPr="00DD4A38">
              <w:rPr>
                <w:rFonts w:ascii="Verdana" w:hAnsi="Verdana"/>
                <w:sz w:val="20"/>
                <w:szCs w:val="20"/>
                <w:lang w:eastAsia="zh-CN"/>
              </w:rPr>
              <w:t>%</w:t>
            </w:r>
          </w:p>
        </w:tc>
      </w:tr>
      <w:tr w:rsidR="00DD4A38" w:rsidRPr="00DD4A38" w14:paraId="64BFC1C9" w14:textId="77777777" w:rsidTr="00DD4A38">
        <w:trPr>
          <w:jc w:val="center"/>
        </w:trPr>
        <w:tc>
          <w:tcPr>
            <w:tcW w:w="0" w:type="auto"/>
            <w:hideMark/>
          </w:tcPr>
          <w:p w14:paraId="07FC9FDD" w14:textId="3AC320A8" w:rsidR="00DD4A38" w:rsidRPr="00DD4A38" w:rsidRDefault="00DD4A38" w:rsidP="00DD4A38">
            <w:pPr>
              <w:rPr>
                <w:rFonts w:ascii="Verdana" w:hAnsi="Verdana"/>
                <w:sz w:val="20"/>
                <w:szCs w:val="20"/>
                <w:lang w:eastAsia="zh-CN"/>
              </w:rPr>
            </w:pPr>
            <w:r w:rsidRPr="00DD4A38">
              <w:rPr>
                <w:rFonts w:ascii="Verdana" w:hAnsi="Verdana"/>
                <w:sz w:val="20"/>
                <w:szCs w:val="20"/>
                <w:lang w:eastAsia="zh-CN"/>
              </w:rPr>
              <w:t>202</w:t>
            </w:r>
            <w:r w:rsidR="004F34C2">
              <w:rPr>
                <w:rFonts w:ascii="Verdana" w:hAnsi="Verdana"/>
                <w:sz w:val="20"/>
                <w:szCs w:val="20"/>
                <w:lang w:eastAsia="zh-CN"/>
              </w:rPr>
              <w:t>3</w:t>
            </w:r>
          </w:p>
        </w:tc>
        <w:tc>
          <w:tcPr>
            <w:tcW w:w="0" w:type="auto"/>
            <w:hideMark/>
          </w:tcPr>
          <w:p w14:paraId="018DA8C5" w14:textId="04F9F3E8" w:rsidR="00DD4A38" w:rsidRPr="004F34C2" w:rsidRDefault="004F34C2" w:rsidP="00DD4A38">
            <w:pPr>
              <w:rPr>
                <w:rFonts w:ascii="Verdana" w:eastAsia="Verdana" w:hAnsi="Verdana" w:cs="Verdana"/>
                <w:sz w:val="20"/>
                <w:szCs w:val="20"/>
                <w:lang w:eastAsia="es-CO"/>
              </w:rPr>
            </w:pPr>
            <w:r w:rsidRPr="004F34C2">
              <w:rPr>
                <w:rFonts w:ascii="Verdana" w:eastAsia="Verdana" w:hAnsi="Verdana" w:cs="Verdana"/>
                <w:sz w:val="20"/>
                <w:szCs w:val="20"/>
                <w:lang w:eastAsia="es-CO"/>
              </w:rPr>
              <w:t>935.000.000</w:t>
            </w:r>
          </w:p>
        </w:tc>
        <w:tc>
          <w:tcPr>
            <w:tcW w:w="0" w:type="auto"/>
            <w:hideMark/>
          </w:tcPr>
          <w:p w14:paraId="32904BFC" w14:textId="43452D1D" w:rsidR="00DD4A38" w:rsidRPr="00DD4A38" w:rsidRDefault="004F34C2" w:rsidP="00DD4A38">
            <w:pPr>
              <w:rPr>
                <w:rFonts w:ascii="Verdana" w:hAnsi="Verdana"/>
                <w:sz w:val="20"/>
                <w:szCs w:val="20"/>
                <w:lang w:eastAsia="zh-CN"/>
              </w:rPr>
            </w:pPr>
            <w:r>
              <w:rPr>
                <w:rFonts w:ascii="Verdana" w:hAnsi="Verdana"/>
                <w:sz w:val="20"/>
                <w:szCs w:val="20"/>
                <w:lang w:eastAsia="zh-CN"/>
              </w:rPr>
              <w:t>7</w:t>
            </w:r>
            <w:r w:rsidR="00DD4A38" w:rsidRPr="00DD4A38">
              <w:rPr>
                <w:rFonts w:ascii="Verdana" w:hAnsi="Verdana"/>
                <w:sz w:val="20"/>
                <w:szCs w:val="20"/>
                <w:lang w:eastAsia="zh-CN"/>
              </w:rPr>
              <w:t>,</w:t>
            </w:r>
            <w:r>
              <w:rPr>
                <w:rFonts w:ascii="Verdana" w:hAnsi="Verdana"/>
                <w:sz w:val="20"/>
                <w:szCs w:val="20"/>
                <w:lang w:eastAsia="zh-CN"/>
              </w:rPr>
              <w:t>5</w:t>
            </w:r>
            <w:r w:rsidR="00DD4A38" w:rsidRPr="00DD4A38">
              <w:rPr>
                <w:rFonts w:ascii="Verdana" w:hAnsi="Verdana"/>
                <w:sz w:val="20"/>
                <w:szCs w:val="20"/>
                <w:lang w:eastAsia="zh-CN"/>
              </w:rPr>
              <w:t>%</w:t>
            </w:r>
          </w:p>
        </w:tc>
      </w:tr>
    </w:tbl>
    <w:p w14:paraId="299B04C8" w14:textId="0DA14660" w:rsidR="00DD4A38" w:rsidRPr="001A3FFD" w:rsidRDefault="004F34C2" w:rsidP="004F34C2">
      <w:pPr>
        <w:pStyle w:val="NormalWeb"/>
        <w:spacing w:before="0" w:beforeAutospacing="0"/>
        <w:ind w:right="-801"/>
        <w:jc w:val="center"/>
        <w:rPr>
          <w:rFonts w:ascii="Verdana" w:eastAsiaTheme="minorEastAsia" w:hAnsi="Verdana" w:cstheme="minorBidi"/>
          <w:i/>
          <w:iCs/>
          <w:sz w:val="16"/>
          <w:szCs w:val="16"/>
          <w:lang w:val="es-ES"/>
        </w:rPr>
      </w:pPr>
      <w:r w:rsidRPr="004F34C2">
        <w:rPr>
          <w:rFonts w:ascii="Verdana" w:eastAsiaTheme="minorEastAsia" w:hAnsi="Verdana" w:cstheme="minorBidi"/>
          <w:i/>
          <w:iCs/>
          <w:sz w:val="16"/>
          <w:szCs w:val="16"/>
          <w:lang w:val="es-ES"/>
        </w:rPr>
        <w:t>Fuente: Elaboración propia con base en antecedentes contractuales.</w:t>
      </w:r>
    </w:p>
    <w:p w14:paraId="1414D8D1" w14:textId="09DACA99" w:rsidR="00DD4A38" w:rsidRPr="001A3FFD" w:rsidRDefault="00DD4A38" w:rsidP="00DD4A38">
      <w:pPr>
        <w:pStyle w:val="NormalWeb"/>
        <w:numPr>
          <w:ilvl w:val="0"/>
          <w:numId w:val="16"/>
        </w:numPr>
        <w:ind w:right="-801"/>
        <w:jc w:val="both"/>
        <w:rPr>
          <w:rFonts w:ascii="Verdana" w:eastAsiaTheme="minorEastAsia" w:hAnsi="Verdana" w:cstheme="minorBidi"/>
          <w:b/>
          <w:bCs/>
          <w:sz w:val="20"/>
          <w:szCs w:val="20"/>
          <w:lang w:val="es-ES"/>
        </w:rPr>
      </w:pPr>
      <w:r w:rsidRPr="001A3FFD">
        <w:rPr>
          <w:rFonts w:ascii="Verdana" w:eastAsiaTheme="minorEastAsia" w:hAnsi="Verdana" w:cstheme="minorBidi"/>
          <w:b/>
          <w:bCs/>
          <w:sz w:val="20"/>
          <w:szCs w:val="20"/>
          <w:lang w:val="es-ES"/>
        </w:rPr>
        <w:t>Medidas estadísticas</w:t>
      </w:r>
    </w:p>
    <w:p w14:paraId="7ECE85A4" w14:textId="28C40FC2" w:rsidR="00DD4A38" w:rsidRPr="001A3FFD" w:rsidRDefault="00DD4A38" w:rsidP="004F34C2">
      <w:pPr>
        <w:pStyle w:val="NormalWeb"/>
        <w:numPr>
          <w:ilvl w:val="1"/>
          <w:numId w:val="16"/>
        </w:numPr>
        <w:spacing w:after="0" w:afterAutospacing="0"/>
        <w:ind w:right="-801"/>
        <w:jc w:val="both"/>
        <w:rPr>
          <w:rFonts w:ascii="Verdana" w:eastAsiaTheme="minorEastAsia" w:hAnsi="Verdana" w:cstheme="minorBidi"/>
          <w:sz w:val="20"/>
          <w:szCs w:val="20"/>
          <w:lang w:val="es-ES"/>
        </w:rPr>
      </w:pPr>
      <w:r w:rsidRPr="001A3FFD">
        <w:rPr>
          <w:rFonts w:ascii="Verdana" w:eastAsiaTheme="minorEastAsia" w:hAnsi="Verdana" w:cstheme="minorBidi"/>
          <w:sz w:val="20"/>
          <w:szCs w:val="20"/>
          <w:lang w:val="es-ES"/>
        </w:rPr>
        <w:t>Presupuesto oficial</w:t>
      </w:r>
    </w:p>
    <w:tbl>
      <w:tblPr>
        <w:tblStyle w:val="Tablaconcuadrculaclara"/>
        <w:tblW w:w="0" w:type="auto"/>
        <w:jc w:val="center"/>
        <w:tblLook w:val="04A0" w:firstRow="1" w:lastRow="0" w:firstColumn="1" w:lastColumn="0" w:noHBand="0" w:noVBand="1"/>
      </w:tblPr>
      <w:tblGrid>
        <w:gridCol w:w="2233"/>
        <w:gridCol w:w="3031"/>
      </w:tblGrid>
      <w:tr w:rsidR="00DD4A38" w:rsidRPr="001A3FFD" w14:paraId="3CDD9CEB" w14:textId="77777777" w:rsidTr="00DD4A38">
        <w:trPr>
          <w:jc w:val="center"/>
        </w:trPr>
        <w:tc>
          <w:tcPr>
            <w:tcW w:w="0" w:type="auto"/>
            <w:hideMark/>
          </w:tcPr>
          <w:p w14:paraId="53E9DBDD" w14:textId="77777777" w:rsidR="00DD4A38" w:rsidRPr="001A3FFD" w:rsidRDefault="00DD4A38">
            <w:pPr>
              <w:jc w:val="center"/>
              <w:rPr>
                <w:rFonts w:ascii="Verdana" w:hAnsi="Verdana"/>
                <w:b/>
                <w:bCs/>
                <w:sz w:val="20"/>
                <w:szCs w:val="20"/>
              </w:rPr>
            </w:pPr>
            <w:r w:rsidRPr="001A3FFD">
              <w:rPr>
                <w:rFonts w:ascii="Verdana" w:hAnsi="Verdana"/>
                <w:b/>
                <w:bCs/>
                <w:sz w:val="20"/>
                <w:szCs w:val="20"/>
              </w:rPr>
              <w:t>Medida</w:t>
            </w:r>
          </w:p>
        </w:tc>
        <w:tc>
          <w:tcPr>
            <w:tcW w:w="0" w:type="auto"/>
            <w:hideMark/>
          </w:tcPr>
          <w:p w14:paraId="4DA48DB8" w14:textId="77777777" w:rsidR="00DD4A38" w:rsidRPr="001A3FFD" w:rsidRDefault="00DD4A38">
            <w:pPr>
              <w:jc w:val="center"/>
              <w:rPr>
                <w:rFonts w:ascii="Verdana" w:hAnsi="Verdana"/>
                <w:b/>
                <w:bCs/>
                <w:sz w:val="20"/>
                <w:szCs w:val="20"/>
              </w:rPr>
            </w:pPr>
            <w:r w:rsidRPr="001A3FFD">
              <w:rPr>
                <w:rFonts w:ascii="Verdana" w:hAnsi="Verdana"/>
                <w:b/>
                <w:bCs/>
                <w:sz w:val="20"/>
                <w:szCs w:val="20"/>
              </w:rPr>
              <w:t>Valor</w:t>
            </w:r>
          </w:p>
        </w:tc>
      </w:tr>
      <w:tr w:rsidR="00DD4A38" w:rsidRPr="001A3FFD" w14:paraId="714E884B" w14:textId="77777777" w:rsidTr="00DD4A38">
        <w:trPr>
          <w:jc w:val="center"/>
        </w:trPr>
        <w:tc>
          <w:tcPr>
            <w:tcW w:w="0" w:type="auto"/>
            <w:hideMark/>
          </w:tcPr>
          <w:p w14:paraId="1CD9AB61" w14:textId="77777777" w:rsidR="00DD4A38" w:rsidRPr="001A3FFD" w:rsidRDefault="00DD4A38">
            <w:pPr>
              <w:rPr>
                <w:rFonts w:ascii="Verdana" w:hAnsi="Verdana"/>
                <w:sz w:val="20"/>
                <w:szCs w:val="20"/>
              </w:rPr>
            </w:pPr>
            <w:r w:rsidRPr="001A3FFD">
              <w:rPr>
                <w:rStyle w:val="Textoennegrita"/>
                <w:rFonts w:ascii="Verdana" w:hAnsi="Verdana"/>
                <w:sz w:val="20"/>
                <w:szCs w:val="20"/>
              </w:rPr>
              <w:t>Media (promedio)</w:t>
            </w:r>
          </w:p>
        </w:tc>
        <w:tc>
          <w:tcPr>
            <w:tcW w:w="0" w:type="auto"/>
            <w:hideMark/>
          </w:tcPr>
          <w:p w14:paraId="65907111" w14:textId="46738749" w:rsidR="00DD4A38" w:rsidRPr="001A3FFD" w:rsidRDefault="00DD4A38">
            <w:pPr>
              <w:rPr>
                <w:rFonts w:ascii="Verdana" w:hAnsi="Verdana"/>
                <w:sz w:val="20"/>
                <w:szCs w:val="20"/>
              </w:rPr>
            </w:pPr>
            <w:r w:rsidRPr="001A3FFD">
              <w:rPr>
                <w:rFonts w:ascii="Verdana" w:hAnsi="Verdana"/>
                <w:sz w:val="20"/>
                <w:szCs w:val="20"/>
              </w:rPr>
              <w:t>$</w:t>
            </w:r>
            <w:r w:rsidR="004F34C2" w:rsidRPr="004F34C2">
              <w:rPr>
                <w:rFonts w:ascii="Verdana" w:hAnsi="Verdana"/>
                <w:sz w:val="20"/>
                <w:szCs w:val="20"/>
              </w:rPr>
              <w:t>1.055.000.000</w:t>
            </w:r>
          </w:p>
        </w:tc>
      </w:tr>
      <w:tr w:rsidR="004F34C2" w:rsidRPr="001A3FFD" w14:paraId="7B8B5414" w14:textId="77777777" w:rsidTr="00DD4A38">
        <w:trPr>
          <w:jc w:val="center"/>
        </w:trPr>
        <w:tc>
          <w:tcPr>
            <w:tcW w:w="0" w:type="auto"/>
            <w:hideMark/>
          </w:tcPr>
          <w:p w14:paraId="6CCF8D65" w14:textId="77777777" w:rsidR="004F34C2" w:rsidRPr="001A3FFD" w:rsidRDefault="004F34C2" w:rsidP="004F34C2">
            <w:pPr>
              <w:rPr>
                <w:rFonts w:ascii="Verdana" w:hAnsi="Verdana"/>
                <w:sz w:val="20"/>
                <w:szCs w:val="20"/>
              </w:rPr>
            </w:pPr>
            <w:r w:rsidRPr="001A3FFD">
              <w:rPr>
                <w:rStyle w:val="Textoennegrita"/>
                <w:rFonts w:ascii="Verdana" w:hAnsi="Verdana"/>
                <w:sz w:val="20"/>
                <w:szCs w:val="20"/>
              </w:rPr>
              <w:t>Mediana</w:t>
            </w:r>
          </w:p>
        </w:tc>
        <w:tc>
          <w:tcPr>
            <w:tcW w:w="0" w:type="auto"/>
            <w:hideMark/>
          </w:tcPr>
          <w:p w14:paraId="7170481C" w14:textId="17D30A94" w:rsidR="004F34C2" w:rsidRPr="001A3FFD" w:rsidRDefault="004F34C2" w:rsidP="004F34C2">
            <w:pPr>
              <w:rPr>
                <w:rFonts w:ascii="Verdana" w:hAnsi="Verdana"/>
                <w:sz w:val="20"/>
                <w:szCs w:val="20"/>
              </w:rPr>
            </w:pPr>
            <w:r w:rsidRPr="001A3FFD">
              <w:rPr>
                <w:rFonts w:ascii="Verdana" w:hAnsi="Verdana"/>
                <w:sz w:val="20"/>
                <w:szCs w:val="20"/>
              </w:rPr>
              <w:t>$</w:t>
            </w:r>
            <w:r w:rsidRPr="004F34C2">
              <w:rPr>
                <w:rFonts w:ascii="Verdana" w:hAnsi="Verdana"/>
                <w:sz w:val="20"/>
                <w:szCs w:val="20"/>
              </w:rPr>
              <w:t>1.055.000.000</w:t>
            </w:r>
          </w:p>
        </w:tc>
      </w:tr>
      <w:tr w:rsidR="00DD4A38" w:rsidRPr="001A3FFD" w14:paraId="74DFF834" w14:textId="77777777" w:rsidTr="00DD4A38">
        <w:trPr>
          <w:jc w:val="center"/>
        </w:trPr>
        <w:tc>
          <w:tcPr>
            <w:tcW w:w="0" w:type="auto"/>
            <w:hideMark/>
          </w:tcPr>
          <w:p w14:paraId="2B25717D" w14:textId="77777777" w:rsidR="00DD4A38" w:rsidRPr="001A3FFD" w:rsidRDefault="00DD4A38">
            <w:pPr>
              <w:rPr>
                <w:rFonts w:ascii="Verdana" w:hAnsi="Verdana"/>
                <w:sz w:val="20"/>
                <w:szCs w:val="20"/>
              </w:rPr>
            </w:pPr>
            <w:r w:rsidRPr="001A3FFD">
              <w:rPr>
                <w:rStyle w:val="Textoennegrita"/>
                <w:rFonts w:ascii="Verdana" w:hAnsi="Verdana"/>
                <w:sz w:val="20"/>
                <w:szCs w:val="20"/>
              </w:rPr>
              <w:t>Moda</w:t>
            </w:r>
          </w:p>
        </w:tc>
        <w:tc>
          <w:tcPr>
            <w:tcW w:w="0" w:type="auto"/>
            <w:hideMark/>
          </w:tcPr>
          <w:p w14:paraId="567F8361" w14:textId="77777777" w:rsidR="00DD4A38" w:rsidRPr="001A3FFD" w:rsidRDefault="00DD4A38">
            <w:pPr>
              <w:rPr>
                <w:rFonts w:ascii="Verdana" w:hAnsi="Verdana"/>
                <w:sz w:val="20"/>
                <w:szCs w:val="20"/>
              </w:rPr>
            </w:pPr>
            <w:r w:rsidRPr="001A3FFD">
              <w:rPr>
                <w:rFonts w:ascii="Verdana" w:hAnsi="Verdana"/>
                <w:sz w:val="20"/>
                <w:szCs w:val="20"/>
              </w:rPr>
              <w:t>No aplica (valores distintos)</w:t>
            </w:r>
          </w:p>
        </w:tc>
      </w:tr>
    </w:tbl>
    <w:p w14:paraId="1EDD8072" w14:textId="4ED3C25F" w:rsidR="004F34C2" w:rsidRPr="001A3FFD" w:rsidRDefault="004F34C2" w:rsidP="004F34C2">
      <w:pPr>
        <w:pStyle w:val="NormalWeb"/>
        <w:spacing w:before="0" w:beforeAutospacing="0"/>
        <w:ind w:right="-801"/>
        <w:jc w:val="center"/>
        <w:rPr>
          <w:rFonts w:ascii="Verdana" w:eastAsiaTheme="minorEastAsia" w:hAnsi="Verdana" w:cstheme="minorBidi"/>
          <w:i/>
          <w:iCs/>
          <w:sz w:val="16"/>
          <w:szCs w:val="16"/>
          <w:lang w:val="es-ES"/>
        </w:rPr>
      </w:pPr>
      <w:r w:rsidRPr="004F34C2">
        <w:rPr>
          <w:rFonts w:ascii="Verdana" w:eastAsiaTheme="minorEastAsia" w:hAnsi="Verdana" w:cstheme="minorBidi"/>
          <w:i/>
          <w:iCs/>
          <w:sz w:val="16"/>
          <w:szCs w:val="16"/>
          <w:lang w:val="es-ES"/>
        </w:rPr>
        <w:t>Fuente: Elaboración propia con base en antecedentes contractuales.</w:t>
      </w:r>
    </w:p>
    <w:p w14:paraId="4F41C62C" w14:textId="506C4A17" w:rsidR="00DD4A38" w:rsidRPr="001A3FFD" w:rsidRDefault="00DD4A38" w:rsidP="00DD4A38">
      <w:pPr>
        <w:pStyle w:val="NormalWeb"/>
        <w:numPr>
          <w:ilvl w:val="0"/>
          <w:numId w:val="16"/>
        </w:numPr>
        <w:ind w:right="-801"/>
        <w:jc w:val="both"/>
        <w:rPr>
          <w:rFonts w:ascii="Verdana" w:eastAsiaTheme="minorEastAsia" w:hAnsi="Verdana" w:cstheme="minorBidi"/>
          <w:b/>
          <w:bCs/>
          <w:sz w:val="20"/>
          <w:szCs w:val="20"/>
          <w:lang w:val="es-ES"/>
        </w:rPr>
      </w:pPr>
      <w:r w:rsidRPr="001A3FFD">
        <w:rPr>
          <w:rFonts w:ascii="Verdana" w:eastAsiaTheme="minorEastAsia" w:hAnsi="Verdana" w:cstheme="minorBidi"/>
          <w:b/>
          <w:bCs/>
          <w:sz w:val="20"/>
          <w:szCs w:val="20"/>
          <w:lang w:val="es-ES"/>
        </w:rPr>
        <w:t>Porcentaje de costos administrativos</w:t>
      </w:r>
    </w:p>
    <w:tbl>
      <w:tblPr>
        <w:tblStyle w:val="Tablaconcuadrculaclara"/>
        <w:tblW w:w="0" w:type="auto"/>
        <w:jc w:val="center"/>
        <w:tblLook w:val="04A0" w:firstRow="1" w:lastRow="0" w:firstColumn="1" w:lastColumn="0" w:noHBand="0" w:noVBand="1"/>
      </w:tblPr>
      <w:tblGrid>
        <w:gridCol w:w="2233"/>
        <w:gridCol w:w="886"/>
      </w:tblGrid>
      <w:tr w:rsidR="00DD4A38" w:rsidRPr="001A3FFD" w14:paraId="1DDEE6B2" w14:textId="77777777" w:rsidTr="00DD4A38">
        <w:trPr>
          <w:jc w:val="center"/>
        </w:trPr>
        <w:tc>
          <w:tcPr>
            <w:tcW w:w="0" w:type="auto"/>
            <w:hideMark/>
          </w:tcPr>
          <w:p w14:paraId="295C5363" w14:textId="77777777" w:rsidR="00DD4A38" w:rsidRPr="001A3FFD" w:rsidRDefault="00DD4A38">
            <w:pPr>
              <w:jc w:val="center"/>
              <w:rPr>
                <w:rFonts w:ascii="Verdana" w:hAnsi="Verdana"/>
                <w:b/>
                <w:bCs/>
                <w:sz w:val="20"/>
                <w:szCs w:val="20"/>
              </w:rPr>
            </w:pPr>
            <w:r w:rsidRPr="001A3FFD">
              <w:rPr>
                <w:rFonts w:ascii="Verdana" w:hAnsi="Verdana"/>
                <w:b/>
                <w:bCs/>
                <w:sz w:val="20"/>
                <w:szCs w:val="20"/>
              </w:rPr>
              <w:t>Medida</w:t>
            </w:r>
          </w:p>
        </w:tc>
        <w:tc>
          <w:tcPr>
            <w:tcW w:w="0" w:type="auto"/>
            <w:hideMark/>
          </w:tcPr>
          <w:p w14:paraId="55F7C8CB" w14:textId="77777777" w:rsidR="00DD4A38" w:rsidRPr="001A3FFD" w:rsidRDefault="00DD4A38">
            <w:pPr>
              <w:jc w:val="center"/>
              <w:rPr>
                <w:rFonts w:ascii="Verdana" w:hAnsi="Verdana"/>
                <w:b/>
                <w:bCs/>
                <w:sz w:val="20"/>
                <w:szCs w:val="20"/>
              </w:rPr>
            </w:pPr>
            <w:r w:rsidRPr="001A3FFD">
              <w:rPr>
                <w:rFonts w:ascii="Verdana" w:hAnsi="Verdana"/>
                <w:b/>
                <w:bCs/>
                <w:sz w:val="20"/>
                <w:szCs w:val="20"/>
              </w:rPr>
              <w:t>Valor</w:t>
            </w:r>
          </w:p>
        </w:tc>
      </w:tr>
      <w:tr w:rsidR="00DD4A38" w:rsidRPr="001A3FFD" w14:paraId="405A3CE0" w14:textId="77777777" w:rsidTr="00DD4A38">
        <w:trPr>
          <w:jc w:val="center"/>
        </w:trPr>
        <w:tc>
          <w:tcPr>
            <w:tcW w:w="0" w:type="auto"/>
            <w:hideMark/>
          </w:tcPr>
          <w:p w14:paraId="0B44F111" w14:textId="77777777" w:rsidR="00DD4A38" w:rsidRPr="001A3FFD" w:rsidRDefault="00DD4A38">
            <w:pPr>
              <w:rPr>
                <w:rFonts w:ascii="Verdana" w:hAnsi="Verdana"/>
                <w:sz w:val="20"/>
                <w:szCs w:val="20"/>
              </w:rPr>
            </w:pPr>
            <w:r w:rsidRPr="001A3FFD">
              <w:rPr>
                <w:rStyle w:val="Textoennegrita"/>
                <w:rFonts w:ascii="Verdana" w:hAnsi="Verdana"/>
                <w:sz w:val="20"/>
                <w:szCs w:val="20"/>
              </w:rPr>
              <w:t>Media (promedio)</w:t>
            </w:r>
          </w:p>
        </w:tc>
        <w:tc>
          <w:tcPr>
            <w:tcW w:w="0" w:type="auto"/>
            <w:hideMark/>
          </w:tcPr>
          <w:p w14:paraId="6EE0C7B4" w14:textId="6D110668" w:rsidR="00DD4A38" w:rsidRPr="001A3FFD" w:rsidRDefault="00DD4A38">
            <w:pPr>
              <w:rPr>
                <w:rFonts w:ascii="Verdana" w:hAnsi="Verdana"/>
                <w:sz w:val="20"/>
                <w:szCs w:val="20"/>
              </w:rPr>
            </w:pPr>
            <w:r w:rsidRPr="001A3FFD">
              <w:rPr>
                <w:rFonts w:ascii="Verdana" w:hAnsi="Verdana"/>
                <w:sz w:val="20"/>
                <w:szCs w:val="20"/>
              </w:rPr>
              <w:t>7,</w:t>
            </w:r>
            <w:r w:rsidR="004F34C2">
              <w:rPr>
                <w:rFonts w:ascii="Verdana" w:hAnsi="Verdana"/>
                <w:sz w:val="20"/>
                <w:szCs w:val="20"/>
              </w:rPr>
              <w:t>50</w:t>
            </w:r>
            <w:r w:rsidRPr="001A3FFD">
              <w:rPr>
                <w:rFonts w:ascii="Verdana" w:hAnsi="Verdana"/>
                <w:sz w:val="20"/>
                <w:szCs w:val="20"/>
              </w:rPr>
              <w:t>%</w:t>
            </w:r>
          </w:p>
        </w:tc>
      </w:tr>
      <w:tr w:rsidR="002F07A8" w:rsidRPr="001A3FFD" w14:paraId="731B0DAE" w14:textId="77777777" w:rsidTr="00DD4A38">
        <w:trPr>
          <w:jc w:val="center"/>
        </w:trPr>
        <w:tc>
          <w:tcPr>
            <w:tcW w:w="0" w:type="auto"/>
            <w:hideMark/>
          </w:tcPr>
          <w:p w14:paraId="60DE3A36" w14:textId="77777777" w:rsidR="002F07A8" w:rsidRPr="001A3FFD" w:rsidRDefault="002F07A8" w:rsidP="002F07A8">
            <w:pPr>
              <w:rPr>
                <w:rFonts w:ascii="Verdana" w:hAnsi="Verdana"/>
                <w:sz w:val="20"/>
                <w:szCs w:val="20"/>
              </w:rPr>
            </w:pPr>
            <w:r w:rsidRPr="001A3FFD">
              <w:rPr>
                <w:rStyle w:val="Textoennegrita"/>
                <w:rFonts w:ascii="Verdana" w:hAnsi="Verdana"/>
                <w:sz w:val="20"/>
                <w:szCs w:val="20"/>
              </w:rPr>
              <w:t>Mediana</w:t>
            </w:r>
          </w:p>
        </w:tc>
        <w:tc>
          <w:tcPr>
            <w:tcW w:w="0" w:type="auto"/>
            <w:hideMark/>
          </w:tcPr>
          <w:p w14:paraId="486C057B" w14:textId="3EC152A5" w:rsidR="002F07A8" w:rsidRPr="001A3FFD" w:rsidRDefault="002F07A8" w:rsidP="002F07A8">
            <w:pPr>
              <w:rPr>
                <w:rFonts w:ascii="Verdana" w:hAnsi="Verdana"/>
                <w:sz w:val="20"/>
                <w:szCs w:val="20"/>
              </w:rPr>
            </w:pPr>
            <w:r w:rsidRPr="001A3FFD">
              <w:rPr>
                <w:rFonts w:ascii="Verdana" w:hAnsi="Verdana"/>
                <w:sz w:val="20"/>
                <w:szCs w:val="20"/>
              </w:rPr>
              <w:t>7,</w:t>
            </w:r>
            <w:r>
              <w:rPr>
                <w:rFonts w:ascii="Verdana" w:hAnsi="Verdana"/>
                <w:sz w:val="20"/>
                <w:szCs w:val="20"/>
              </w:rPr>
              <w:t>50</w:t>
            </w:r>
            <w:r w:rsidRPr="001A3FFD">
              <w:rPr>
                <w:rFonts w:ascii="Verdana" w:hAnsi="Verdana"/>
                <w:sz w:val="20"/>
                <w:szCs w:val="20"/>
              </w:rPr>
              <w:t>%</w:t>
            </w:r>
          </w:p>
        </w:tc>
      </w:tr>
      <w:tr w:rsidR="002F07A8" w:rsidRPr="001A3FFD" w14:paraId="09FDEB42" w14:textId="77777777" w:rsidTr="00DD4A38">
        <w:trPr>
          <w:jc w:val="center"/>
        </w:trPr>
        <w:tc>
          <w:tcPr>
            <w:tcW w:w="0" w:type="auto"/>
            <w:hideMark/>
          </w:tcPr>
          <w:p w14:paraId="6FE8CFC8" w14:textId="77777777" w:rsidR="002F07A8" w:rsidRPr="001A3FFD" w:rsidRDefault="002F07A8" w:rsidP="002F07A8">
            <w:pPr>
              <w:rPr>
                <w:rFonts w:ascii="Verdana" w:hAnsi="Verdana"/>
                <w:sz w:val="20"/>
                <w:szCs w:val="20"/>
              </w:rPr>
            </w:pPr>
            <w:r w:rsidRPr="001A3FFD">
              <w:rPr>
                <w:rStyle w:val="Textoennegrita"/>
                <w:rFonts w:ascii="Verdana" w:hAnsi="Verdana"/>
                <w:sz w:val="20"/>
                <w:szCs w:val="20"/>
              </w:rPr>
              <w:t>Moda</w:t>
            </w:r>
          </w:p>
        </w:tc>
        <w:tc>
          <w:tcPr>
            <w:tcW w:w="0" w:type="auto"/>
            <w:hideMark/>
          </w:tcPr>
          <w:p w14:paraId="51782A5C" w14:textId="363C12C1" w:rsidR="002F07A8" w:rsidRPr="001A3FFD" w:rsidRDefault="002F07A8" w:rsidP="002F07A8">
            <w:pPr>
              <w:rPr>
                <w:rFonts w:ascii="Verdana" w:hAnsi="Verdana"/>
                <w:sz w:val="20"/>
                <w:szCs w:val="20"/>
              </w:rPr>
            </w:pPr>
            <w:r w:rsidRPr="001A3FFD">
              <w:rPr>
                <w:rFonts w:ascii="Verdana" w:hAnsi="Verdana"/>
                <w:sz w:val="20"/>
                <w:szCs w:val="20"/>
              </w:rPr>
              <w:t>7,</w:t>
            </w:r>
            <w:r>
              <w:rPr>
                <w:rFonts w:ascii="Verdana" w:hAnsi="Verdana"/>
                <w:sz w:val="20"/>
                <w:szCs w:val="20"/>
              </w:rPr>
              <w:t>50</w:t>
            </w:r>
            <w:r w:rsidRPr="001A3FFD">
              <w:rPr>
                <w:rFonts w:ascii="Verdana" w:hAnsi="Verdana"/>
                <w:sz w:val="20"/>
                <w:szCs w:val="20"/>
              </w:rPr>
              <w:t>%</w:t>
            </w:r>
          </w:p>
        </w:tc>
      </w:tr>
    </w:tbl>
    <w:p w14:paraId="726E1CBB" w14:textId="33505F58" w:rsidR="00DD4A38" w:rsidRPr="001A3FFD" w:rsidRDefault="00DD4A38" w:rsidP="00DD4A38">
      <w:pPr>
        <w:pStyle w:val="NormalWeb"/>
        <w:numPr>
          <w:ilvl w:val="0"/>
          <w:numId w:val="16"/>
        </w:numPr>
        <w:ind w:right="-801"/>
        <w:jc w:val="both"/>
        <w:rPr>
          <w:rFonts w:ascii="Verdana" w:eastAsiaTheme="minorEastAsia" w:hAnsi="Verdana" w:cstheme="minorBidi"/>
          <w:b/>
          <w:bCs/>
          <w:sz w:val="20"/>
          <w:szCs w:val="20"/>
          <w:lang w:val="es-ES"/>
        </w:rPr>
      </w:pPr>
      <w:r w:rsidRPr="001A3FFD">
        <w:rPr>
          <w:rFonts w:ascii="Verdana" w:eastAsiaTheme="minorEastAsia" w:hAnsi="Verdana" w:cstheme="minorBidi"/>
          <w:b/>
          <w:bCs/>
          <w:sz w:val="20"/>
          <w:szCs w:val="20"/>
          <w:lang w:val="es-ES"/>
        </w:rPr>
        <w:t>Análisis estadístico y de mercado</w:t>
      </w:r>
    </w:p>
    <w:p w14:paraId="4E734776" w14:textId="77777777" w:rsidR="002F07A8" w:rsidRPr="002F07A8" w:rsidRDefault="002F07A8" w:rsidP="002F07A8">
      <w:pPr>
        <w:pStyle w:val="NormalWeb"/>
        <w:jc w:val="both"/>
        <w:rPr>
          <w:rFonts w:ascii="Verdana" w:hAnsi="Verdana"/>
          <w:sz w:val="20"/>
          <w:szCs w:val="20"/>
        </w:rPr>
      </w:pPr>
      <w:r w:rsidRPr="002F07A8">
        <w:rPr>
          <w:rFonts w:ascii="Verdana" w:hAnsi="Verdana"/>
          <w:sz w:val="20"/>
          <w:szCs w:val="20"/>
        </w:rPr>
        <w:lastRenderedPageBreak/>
        <w:t xml:space="preserve">El análisis de los convenios correspondientes a las vigencias 2023 y 2024 evidencia una </w:t>
      </w:r>
      <w:r w:rsidRPr="002F07A8">
        <w:rPr>
          <w:rFonts w:ascii="Verdana" w:hAnsi="Verdana"/>
          <w:b/>
          <w:bCs/>
          <w:sz w:val="20"/>
          <w:szCs w:val="20"/>
        </w:rPr>
        <w:t>tendencia creciente en el valor del presupuesto oficial</w:t>
      </w:r>
      <w:r w:rsidRPr="002F07A8">
        <w:rPr>
          <w:rFonts w:ascii="Verdana" w:hAnsi="Verdana"/>
          <w:sz w:val="20"/>
          <w:szCs w:val="20"/>
        </w:rPr>
        <w:t>, con un incremento de $240.000.000 entre ambos años, lo que refleja una ampliación del alcance, la cobertura y la complejidad de las actividades contratadas. La media y la mediana coinciden en $1.055.000.000, lo cual indica una distribución equilibrada de los valores analizados, sin presencia de valores atípicos.</w:t>
      </w:r>
    </w:p>
    <w:p w14:paraId="378956C7" w14:textId="77777777" w:rsidR="002F07A8" w:rsidRPr="002F07A8" w:rsidRDefault="002F07A8" w:rsidP="002F07A8">
      <w:pPr>
        <w:pStyle w:val="NormalWeb"/>
        <w:jc w:val="both"/>
        <w:rPr>
          <w:rFonts w:ascii="Verdana" w:hAnsi="Verdana"/>
          <w:sz w:val="20"/>
          <w:szCs w:val="20"/>
        </w:rPr>
      </w:pPr>
      <w:r w:rsidRPr="002F07A8">
        <w:rPr>
          <w:rFonts w:ascii="Verdana" w:hAnsi="Verdana"/>
          <w:sz w:val="20"/>
          <w:szCs w:val="20"/>
        </w:rPr>
        <w:t xml:space="preserve">En cuanto a los </w:t>
      </w:r>
      <w:r w:rsidRPr="002F07A8">
        <w:rPr>
          <w:rFonts w:ascii="Verdana" w:hAnsi="Verdana"/>
          <w:b/>
          <w:bCs/>
          <w:sz w:val="20"/>
          <w:szCs w:val="20"/>
        </w:rPr>
        <w:t>costos administrativos</w:t>
      </w:r>
      <w:r w:rsidRPr="002F07A8">
        <w:rPr>
          <w:rFonts w:ascii="Verdana" w:hAnsi="Verdana"/>
          <w:sz w:val="20"/>
          <w:szCs w:val="20"/>
        </w:rPr>
        <w:t xml:space="preserve">, se observa una </w:t>
      </w:r>
      <w:r w:rsidRPr="002F07A8">
        <w:rPr>
          <w:rFonts w:ascii="Verdana" w:hAnsi="Verdana"/>
          <w:b/>
          <w:bCs/>
          <w:sz w:val="20"/>
          <w:szCs w:val="20"/>
        </w:rPr>
        <w:t>estabilidad absoluta</w:t>
      </w:r>
      <w:r w:rsidRPr="002F07A8">
        <w:rPr>
          <w:rFonts w:ascii="Verdana" w:hAnsi="Verdana"/>
          <w:sz w:val="20"/>
          <w:szCs w:val="20"/>
        </w:rPr>
        <w:t>, con un porcentaje constante del 7,50% en ambas vigencias, lo cual se refleja en la media, la mediana y la moda. Este comportamiento demuestra consistencia en los criterios de planeación financiera y eficiencia en la gestión administrativa, situando dichos costos dentro de rangos razonables y alineados con las prácticas históricas del sector.</w:t>
      </w:r>
    </w:p>
    <w:p w14:paraId="2AD2F320" w14:textId="77777777" w:rsidR="002F07A8" w:rsidRPr="002F07A8" w:rsidRDefault="002F07A8" w:rsidP="002F07A8">
      <w:pPr>
        <w:pStyle w:val="NormalWeb"/>
        <w:jc w:val="both"/>
        <w:rPr>
          <w:rFonts w:ascii="Verdana" w:hAnsi="Verdana"/>
          <w:sz w:val="20"/>
          <w:szCs w:val="20"/>
        </w:rPr>
      </w:pPr>
      <w:r w:rsidRPr="002F07A8">
        <w:rPr>
          <w:rFonts w:ascii="Verdana" w:hAnsi="Verdana"/>
          <w:sz w:val="20"/>
          <w:szCs w:val="20"/>
        </w:rPr>
        <w:t>En conjunto, los resultados estadísticos permiten concluir que los valores analizados constituyen referentes válidos para el estudio de mercado, evidencian una evolución coherente del presupuesto y respaldan técnicamente la razonabilidad de los porcentajes de costos administrativos aplicados en este tipo de contratos.</w:t>
      </w:r>
    </w:p>
    <w:p w14:paraId="02C09CDB" w14:textId="77777777" w:rsidR="002F07A8" w:rsidRPr="002F07A8" w:rsidRDefault="003B5665" w:rsidP="002C2C04">
      <w:pPr>
        <w:pStyle w:val="NormalWeb"/>
        <w:numPr>
          <w:ilvl w:val="0"/>
          <w:numId w:val="16"/>
        </w:numPr>
        <w:ind w:right="191"/>
        <w:jc w:val="both"/>
        <w:rPr>
          <w:rFonts w:ascii="Verdana" w:hAnsi="Verdana"/>
        </w:rPr>
      </w:pPr>
      <w:r w:rsidRPr="002F07A8">
        <w:rPr>
          <w:rFonts w:ascii="Verdana" w:eastAsiaTheme="minorEastAsia" w:hAnsi="Verdana" w:cstheme="minorBidi"/>
          <w:b/>
          <w:bCs/>
          <w:sz w:val="20"/>
          <w:szCs w:val="20"/>
          <w:lang w:val="es-ES"/>
        </w:rPr>
        <w:t>Metodología aplicada para la determinación del valor del contrato 2026</w:t>
      </w:r>
    </w:p>
    <w:p w14:paraId="4675A2FE" w14:textId="77777777" w:rsidR="002F07A8" w:rsidRPr="002F07A8" w:rsidRDefault="002F07A8" w:rsidP="002F07A8">
      <w:pPr>
        <w:pStyle w:val="NormalWeb"/>
        <w:jc w:val="both"/>
        <w:rPr>
          <w:rFonts w:ascii="Verdana" w:hAnsi="Verdana"/>
          <w:sz w:val="20"/>
          <w:szCs w:val="20"/>
        </w:rPr>
      </w:pPr>
      <w:r w:rsidRPr="002F07A8">
        <w:rPr>
          <w:rFonts w:ascii="Verdana" w:hAnsi="Verdana"/>
          <w:sz w:val="20"/>
          <w:szCs w:val="20"/>
        </w:rPr>
        <w:t>Para la determinación del valor del contrato correspondiente a la vigencia 2026 se aplicó una metodología integral de análisis de mercado, con enfoque estadístico, técnico y contextual, tomando como referencia los convenios ejecutados en las vigencias 2023 y 2024, los cuales resultan pertinentes, comparables y válidos como antecedentes contractuales, al corresponder a objetos, alcances y condiciones de ejecución similares.</w:t>
      </w:r>
    </w:p>
    <w:p w14:paraId="29FACCCE" w14:textId="77777777" w:rsidR="002F07A8" w:rsidRPr="002F07A8" w:rsidRDefault="002F07A8" w:rsidP="002F07A8">
      <w:pPr>
        <w:pStyle w:val="NormalWeb"/>
        <w:jc w:val="both"/>
        <w:rPr>
          <w:rFonts w:ascii="Verdana" w:hAnsi="Verdana"/>
          <w:sz w:val="20"/>
          <w:szCs w:val="20"/>
        </w:rPr>
      </w:pPr>
      <w:r w:rsidRPr="002F07A8">
        <w:rPr>
          <w:rFonts w:ascii="Verdana" w:hAnsi="Verdana"/>
          <w:sz w:val="20"/>
          <w:szCs w:val="20"/>
        </w:rPr>
        <w:t xml:space="preserve">En una primera fase se realizó un </w:t>
      </w:r>
      <w:r w:rsidRPr="002F07A8">
        <w:rPr>
          <w:rStyle w:val="Textoennegrita"/>
          <w:rFonts w:ascii="Verdana" w:hAnsi="Verdana"/>
          <w:sz w:val="20"/>
          <w:szCs w:val="20"/>
        </w:rPr>
        <w:t>análisis estadístico descriptivo</w:t>
      </w:r>
      <w:r w:rsidRPr="002F07A8">
        <w:rPr>
          <w:rFonts w:ascii="Verdana" w:hAnsi="Verdana"/>
          <w:sz w:val="20"/>
          <w:szCs w:val="20"/>
        </w:rPr>
        <w:t xml:space="preserve"> de los valores históricos del presupuesto oficial, calculando medidas de tendencia central (media, mediana y moda), con el fin de identificar el comportamiento general del mercado. El promedio aritmético obtenido se empleó como </w:t>
      </w:r>
      <w:r w:rsidRPr="002F07A8">
        <w:rPr>
          <w:rStyle w:val="Textoennegrita"/>
          <w:rFonts w:ascii="Verdana" w:hAnsi="Verdana"/>
          <w:sz w:val="20"/>
          <w:szCs w:val="20"/>
        </w:rPr>
        <w:t>indicador de referencia</w:t>
      </w:r>
      <w:r w:rsidRPr="002F07A8">
        <w:rPr>
          <w:rFonts w:ascii="Verdana" w:hAnsi="Verdana"/>
          <w:sz w:val="20"/>
          <w:szCs w:val="20"/>
        </w:rPr>
        <w:t>, mas no como criterio único ni determinante para la fijación del valor del contrato 2026, toda vez que, por sí solo, no recoge la complejidad técnica, operativa y económica del proyecto a contratar.</w:t>
      </w:r>
    </w:p>
    <w:p w14:paraId="158FCF35" w14:textId="77777777" w:rsidR="002F07A8" w:rsidRPr="002F07A8" w:rsidRDefault="002F07A8" w:rsidP="002F07A8">
      <w:pPr>
        <w:pStyle w:val="NormalWeb"/>
        <w:jc w:val="both"/>
        <w:rPr>
          <w:rFonts w:ascii="Verdana" w:hAnsi="Verdana"/>
          <w:sz w:val="20"/>
          <w:szCs w:val="20"/>
        </w:rPr>
      </w:pPr>
      <w:r w:rsidRPr="002F07A8">
        <w:rPr>
          <w:rFonts w:ascii="Verdana" w:hAnsi="Verdana"/>
          <w:sz w:val="20"/>
          <w:szCs w:val="20"/>
        </w:rPr>
        <w:t xml:space="preserve">En consecuencia, la metodología empleada </w:t>
      </w:r>
      <w:r w:rsidRPr="002F07A8">
        <w:rPr>
          <w:rStyle w:val="Textoennegrita"/>
          <w:rFonts w:ascii="Verdana" w:hAnsi="Verdana"/>
          <w:sz w:val="20"/>
          <w:szCs w:val="20"/>
        </w:rPr>
        <w:t>no se limita al promedio simple</w:t>
      </w:r>
      <w:r w:rsidRPr="002F07A8">
        <w:rPr>
          <w:rFonts w:ascii="Verdana" w:hAnsi="Verdana"/>
          <w:sz w:val="20"/>
          <w:szCs w:val="20"/>
        </w:rPr>
        <w:t>, sino que incorpora los siguientes criterios complementarios:</w:t>
      </w:r>
    </w:p>
    <w:p w14:paraId="490CEBF6" w14:textId="6C7AB4A4" w:rsidR="002F07A8" w:rsidRPr="002F07A8" w:rsidRDefault="002F07A8" w:rsidP="002F07A8">
      <w:pPr>
        <w:pStyle w:val="NormalWeb"/>
        <w:numPr>
          <w:ilvl w:val="0"/>
          <w:numId w:val="19"/>
        </w:numPr>
        <w:jc w:val="both"/>
        <w:rPr>
          <w:rFonts w:ascii="Verdana" w:hAnsi="Verdana"/>
          <w:sz w:val="20"/>
          <w:szCs w:val="20"/>
        </w:rPr>
      </w:pPr>
      <w:r w:rsidRPr="002F07A8">
        <w:rPr>
          <w:rStyle w:val="Textoennegrita"/>
          <w:rFonts w:ascii="Verdana" w:hAnsi="Verdana"/>
          <w:sz w:val="20"/>
          <w:szCs w:val="20"/>
        </w:rPr>
        <w:t>Análisis de dispersión de los valores contractuales:</w:t>
      </w:r>
      <w:r>
        <w:rPr>
          <w:rFonts w:ascii="Verdana" w:hAnsi="Verdana"/>
          <w:sz w:val="20"/>
          <w:szCs w:val="20"/>
        </w:rPr>
        <w:t xml:space="preserve"> </w:t>
      </w:r>
      <w:r w:rsidRPr="002F07A8">
        <w:rPr>
          <w:rFonts w:ascii="Verdana" w:hAnsi="Verdana"/>
          <w:sz w:val="20"/>
          <w:szCs w:val="20"/>
        </w:rPr>
        <w:t>Se evaluó la variabilidad existente entre los presupuestos de las vigencias analizadas, identificando una dispersión asociada a diferencias en alcance, cobertura territorial y número de actividades ejecutadas. Esta dispersión no invalida los contratos de referencia, sino que evidencia la heterogeneidad propia del sector y la necesidad de ponderar los valores en función de su representatividad técnica.</w:t>
      </w:r>
    </w:p>
    <w:p w14:paraId="0FC50FB1" w14:textId="36C36B42" w:rsidR="002F07A8" w:rsidRPr="002F07A8" w:rsidRDefault="002F07A8" w:rsidP="002F07A8">
      <w:pPr>
        <w:pStyle w:val="NormalWeb"/>
        <w:numPr>
          <w:ilvl w:val="0"/>
          <w:numId w:val="19"/>
        </w:numPr>
        <w:jc w:val="both"/>
        <w:rPr>
          <w:rFonts w:ascii="Verdana" w:hAnsi="Verdana"/>
          <w:sz w:val="20"/>
          <w:szCs w:val="20"/>
        </w:rPr>
      </w:pPr>
      <w:r w:rsidRPr="002F07A8">
        <w:rPr>
          <w:rStyle w:val="Textoennegrita"/>
          <w:rFonts w:ascii="Verdana" w:hAnsi="Verdana"/>
          <w:sz w:val="20"/>
          <w:szCs w:val="20"/>
        </w:rPr>
        <w:t>Análisis de tendencia histórica:</w:t>
      </w:r>
      <w:r>
        <w:rPr>
          <w:rFonts w:ascii="Verdana" w:hAnsi="Verdana"/>
          <w:sz w:val="20"/>
          <w:szCs w:val="20"/>
        </w:rPr>
        <w:t xml:space="preserve"> </w:t>
      </w:r>
      <w:r w:rsidRPr="002F07A8">
        <w:rPr>
          <w:rFonts w:ascii="Verdana" w:hAnsi="Verdana"/>
          <w:sz w:val="20"/>
          <w:szCs w:val="20"/>
        </w:rPr>
        <w:t xml:space="preserve">Se identificó un comportamiento creciente en los presupuestos oficiales entre las vigencias analizadas, lo cual refleja una evolución progresiva del proyecto, tanto en términos de alcance como de </w:t>
      </w:r>
      <w:r w:rsidRPr="002F07A8">
        <w:rPr>
          <w:rFonts w:ascii="Verdana" w:hAnsi="Verdana"/>
          <w:sz w:val="20"/>
          <w:szCs w:val="20"/>
        </w:rPr>
        <w:lastRenderedPageBreak/>
        <w:t>exigencias técnicas y administrativas. Esta tendencia constituye un insumo fundamental para proyectar razonablemente el valor del contrato 2026.</w:t>
      </w:r>
    </w:p>
    <w:p w14:paraId="15F7AC2E" w14:textId="56F98DE5" w:rsidR="002F07A8" w:rsidRPr="002F07A8" w:rsidRDefault="002F07A8" w:rsidP="002F07A8">
      <w:pPr>
        <w:pStyle w:val="NormalWeb"/>
        <w:numPr>
          <w:ilvl w:val="0"/>
          <w:numId w:val="19"/>
        </w:numPr>
        <w:jc w:val="both"/>
        <w:rPr>
          <w:rFonts w:ascii="Verdana" w:hAnsi="Verdana"/>
          <w:sz w:val="20"/>
          <w:szCs w:val="20"/>
        </w:rPr>
      </w:pPr>
      <w:r w:rsidRPr="002F07A8">
        <w:rPr>
          <w:rStyle w:val="Textoennegrita"/>
          <w:rFonts w:ascii="Verdana" w:hAnsi="Verdana"/>
          <w:sz w:val="20"/>
          <w:szCs w:val="20"/>
        </w:rPr>
        <w:t>Análisis de comparabilidad técnica:</w:t>
      </w:r>
      <w:r>
        <w:rPr>
          <w:rFonts w:ascii="Verdana" w:hAnsi="Verdana"/>
          <w:sz w:val="20"/>
          <w:szCs w:val="20"/>
        </w:rPr>
        <w:t xml:space="preserve"> </w:t>
      </w:r>
      <w:r w:rsidRPr="002F07A8">
        <w:rPr>
          <w:rFonts w:ascii="Verdana" w:hAnsi="Verdana"/>
          <w:sz w:val="20"/>
          <w:szCs w:val="20"/>
        </w:rPr>
        <w:t>Los contratos de mayor valor y mayor similitud operativa se utilizaron como referentes principales, al reflejar de manera más precisa las condiciones reales de ejecución del contrato proyectado. Los contratos de menor valor se integran al análisis como antecedentes válidos que permiten comprender la trayectoria y el crecimiento del proceso, sin que ello implique su exclusión ni desestimación.</w:t>
      </w:r>
    </w:p>
    <w:p w14:paraId="59952100" w14:textId="3944A886" w:rsidR="002F07A8" w:rsidRPr="002F07A8" w:rsidRDefault="002F07A8" w:rsidP="002F07A8">
      <w:pPr>
        <w:pStyle w:val="NormalWeb"/>
        <w:numPr>
          <w:ilvl w:val="0"/>
          <w:numId w:val="19"/>
        </w:numPr>
        <w:jc w:val="both"/>
        <w:rPr>
          <w:rFonts w:ascii="Verdana" w:hAnsi="Verdana"/>
          <w:sz w:val="20"/>
          <w:szCs w:val="20"/>
        </w:rPr>
      </w:pPr>
      <w:r w:rsidRPr="002F07A8">
        <w:rPr>
          <w:rStyle w:val="Textoennegrita"/>
          <w:rFonts w:ascii="Verdana" w:hAnsi="Verdana"/>
          <w:sz w:val="20"/>
          <w:szCs w:val="20"/>
        </w:rPr>
        <w:t>Análisis del contexto económico vigente:</w:t>
      </w:r>
      <w:r>
        <w:rPr>
          <w:rFonts w:ascii="Verdana" w:hAnsi="Verdana"/>
          <w:sz w:val="20"/>
          <w:szCs w:val="20"/>
        </w:rPr>
        <w:t xml:space="preserve"> </w:t>
      </w:r>
      <w:r w:rsidRPr="002F07A8">
        <w:rPr>
          <w:rFonts w:ascii="Verdana" w:hAnsi="Verdana"/>
          <w:sz w:val="20"/>
          <w:szCs w:val="20"/>
        </w:rPr>
        <w:t>La estimación del valor contractual incorporó el comportamiento del Índice de Precios al Consumidor (IPC) al último trimestre de 2025, así como la aplicación del Salario Mínimo Mensual Legal Vigente para 2026, factores que inciden directamente en los costos de personal, logística, transporte, operación y ejecución territorial. Estos elementos justifican ajustes razonables frente a vigencias anteriores y garantizan la viabilidad financiera del contrato.</w:t>
      </w:r>
    </w:p>
    <w:p w14:paraId="491FD0FF" w14:textId="77777777" w:rsidR="002F07A8" w:rsidRPr="002F07A8" w:rsidRDefault="002F07A8" w:rsidP="002F07A8">
      <w:pPr>
        <w:pStyle w:val="NormalWeb"/>
        <w:jc w:val="both"/>
        <w:rPr>
          <w:rFonts w:ascii="Verdana" w:hAnsi="Verdana"/>
          <w:sz w:val="20"/>
          <w:szCs w:val="20"/>
        </w:rPr>
      </w:pPr>
      <w:r w:rsidRPr="002F07A8">
        <w:rPr>
          <w:rFonts w:ascii="Verdana" w:hAnsi="Verdana"/>
          <w:sz w:val="20"/>
          <w:szCs w:val="20"/>
        </w:rPr>
        <w:t>En síntesis, el valor del contrato para la vigencia 2026 se define a partir de una metodología robusta que articula análisis estadístico, evolución histórica, comparabilidad técnica y variables económicas actualizadas, permitiendo una determinación presupuestal coherente, sustentada y alineada con los principios de planeación, economía y responsabilidad fiscal que rigen la contratación estatal.</w:t>
      </w:r>
    </w:p>
    <w:p w14:paraId="130B8A8E" w14:textId="2892761E" w:rsidR="00EA679A" w:rsidRPr="002F07A8" w:rsidRDefault="003B5665" w:rsidP="002F07A8">
      <w:pPr>
        <w:pStyle w:val="NormalWeb"/>
        <w:rPr>
          <w:rFonts w:ascii="Verdana" w:hAnsi="Verdana"/>
          <w:sz w:val="20"/>
          <w:szCs w:val="20"/>
        </w:rPr>
      </w:pPr>
      <w:r w:rsidRPr="001A3FFD">
        <w:rPr>
          <w:rFonts w:ascii="Verdana" w:hAnsi="Verdana"/>
          <w:sz w:val="20"/>
          <w:szCs w:val="20"/>
        </w:rPr>
        <w:t xml:space="preserve">Nota: </w:t>
      </w:r>
      <w:r w:rsidR="00A97E37" w:rsidRPr="001A3FFD">
        <w:rPr>
          <w:rFonts w:ascii="Verdana" w:eastAsiaTheme="minorEastAsia" w:hAnsi="Verdana" w:cstheme="minorBidi"/>
          <w:i/>
          <w:iCs/>
          <w:sz w:val="20"/>
          <w:szCs w:val="20"/>
        </w:rPr>
        <w:t>Se anexa la propuesta realizada por la organización, la cual hace parte integral del presente estudio.</w:t>
      </w:r>
    </w:p>
    <w:p w14:paraId="2454372A" w14:textId="291E51E5" w:rsidR="00CF5FBE" w:rsidRPr="001A3FFD" w:rsidRDefault="00AA0989" w:rsidP="00DD2282">
      <w:pPr>
        <w:pStyle w:val="Prrafodelista"/>
        <w:numPr>
          <w:ilvl w:val="0"/>
          <w:numId w:val="4"/>
        </w:numPr>
        <w:spacing w:before="120" w:after="120"/>
        <w:ind w:left="-567" w:right="-801" w:hanging="357"/>
        <w:jc w:val="both"/>
        <w:rPr>
          <w:rFonts w:ascii="Verdana" w:eastAsia="Verdana" w:hAnsi="Verdana" w:cs="Verdana"/>
          <w:b/>
          <w:bCs/>
          <w:sz w:val="20"/>
          <w:szCs w:val="20"/>
        </w:rPr>
      </w:pPr>
      <w:r w:rsidRPr="001A3FFD">
        <w:rPr>
          <w:rFonts w:ascii="Verdana" w:eastAsia="Verdana" w:hAnsi="Verdana" w:cs="Verdana"/>
          <w:b/>
          <w:bCs/>
          <w:sz w:val="20"/>
          <w:szCs w:val="20"/>
        </w:rPr>
        <w:t>CONCLUSIÓN DEL ANÁLISIS</w:t>
      </w:r>
    </w:p>
    <w:p w14:paraId="20E7EB51" w14:textId="77777777" w:rsidR="003B5665" w:rsidRPr="001A3FFD" w:rsidRDefault="003B5665" w:rsidP="003B56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right="-801"/>
        <w:jc w:val="both"/>
        <w:rPr>
          <w:rFonts w:ascii="Verdana" w:eastAsia="Verdana" w:hAnsi="Verdana" w:cs="Verdana"/>
          <w:sz w:val="20"/>
          <w:szCs w:val="20"/>
        </w:rPr>
      </w:pPr>
      <w:r w:rsidRPr="001A3FFD">
        <w:rPr>
          <w:rFonts w:ascii="Verdana" w:eastAsia="Verdana" w:hAnsi="Verdana" w:cs="Verdana"/>
          <w:sz w:val="20"/>
          <w:szCs w:val="20"/>
        </w:rPr>
        <w:t>Del análisis integral del sector, del contexto económico, técnico, normativo y del mercado, se concluye que la contratación propuesta resulta pertinente, necesaria y debidamente justificada para el cumplimiento de los objetivos misionales del Ministerio de las Culturas, las Artes y los Saberes, en especial en lo relacionado con la salvaguardia del Patrimonio Cultural Inmaterial y el fortalecimiento de las organizaciones comunitarias portadoras de saberes tradicionales.</w:t>
      </w:r>
    </w:p>
    <w:p w14:paraId="7C3B4EED" w14:textId="77777777" w:rsidR="003B5665" w:rsidRPr="001A3FFD" w:rsidRDefault="003B5665" w:rsidP="003B56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right="-801"/>
        <w:rPr>
          <w:rFonts w:ascii="Verdana" w:eastAsia="Verdana" w:hAnsi="Verdana" w:cs="Verdana"/>
          <w:sz w:val="20"/>
          <w:szCs w:val="20"/>
        </w:rPr>
      </w:pPr>
    </w:p>
    <w:p w14:paraId="0A4FC566" w14:textId="0361E669" w:rsidR="003B5665" w:rsidRPr="001A3FFD" w:rsidRDefault="003B5665" w:rsidP="003B56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right="-801"/>
        <w:jc w:val="both"/>
        <w:rPr>
          <w:rFonts w:ascii="Verdana" w:eastAsia="Verdana" w:hAnsi="Verdana" w:cs="Verdana"/>
          <w:sz w:val="20"/>
          <w:szCs w:val="20"/>
        </w:rPr>
      </w:pPr>
      <w:r w:rsidRPr="001A3FFD">
        <w:rPr>
          <w:rFonts w:ascii="Verdana" w:eastAsia="Verdana" w:hAnsi="Verdana" w:cs="Verdana"/>
          <w:sz w:val="20"/>
          <w:szCs w:val="20"/>
        </w:rPr>
        <w:t>El estudio evidencia que el sector cultural, particularmente el vinculado a acciones de salvaguardia del Patrimonio Cultural Inmaterial, presenta dinámicas propias que requieren enfoques diferenciados de análisis, en los cuales la comparación de antecedentes contractuales debe realizarse atendiendo a criterios de evolución, alcance, complejidad técnica y cobertura territorial, y no únicamente a partir de promedios aritméticos. En este sentido, los contratos de las vigencias 2023</w:t>
      </w:r>
      <w:r w:rsidR="002F07A8">
        <w:rPr>
          <w:rFonts w:ascii="Verdana" w:eastAsia="Verdana" w:hAnsi="Verdana" w:cs="Verdana"/>
          <w:sz w:val="20"/>
          <w:szCs w:val="20"/>
        </w:rPr>
        <w:t xml:space="preserve"> y</w:t>
      </w:r>
      <w:r w:rsidRPr="001A3FFD">
        <w:rPr>
          <w:rFonts w:ascii="Verdana" w:eastAsia="Verdana" w:hAnsi="Verdana" w:cs="Verdana"/>
          <w:sz w:val="20"/>
          <w:szCs w:val="20"/>
        </w:rPr>
        <w:t xml:space="preserve"> 2024</w:t>
      </w:r>
      <w:r w:rsidR="002F07A8">
        <w:rPr>
          <w:rFonts w:ascii="Verdana" w:eastAsia="Verdana" w:hAnsi="Verdana" w:cs="Verdana"/>
          <w:sz w:val="20"/>
          <w:szCs w:val="20"/>
        </w:rPr>
        <w:t xml:space="preserve"> </w:t>
      </w:r>
      <w:r w:rsidRPr="001A3FFD">
        <w:rPr>
          <w:rFonts w:ascii="Verdana" w:eastAsia="Verdana" w:hAnsi="Verdana" w:cs="Verdana"/>
          <w:sz w:val="20"/>
          <w:szCs w:val="20"/>
        </w:rPr>
        <w:t>constituyen referentes válidos y consistentes, que permiten identificar una tendencia creciente y una evolución progresiva del proyecto, acorde con las políticas públicas, compromisos intersectoriales y lineamientos normativos vigentes.</w:t>
      </w:r>
    </w:p>
    <w:p w14:paraId="315491BA" w14:textId="77777777" w:rsidR="003B5665" w:rsidRPr="001A3FFD" w:rsidRDefault="003B5665" w:rsidP="003B56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right="-801"/>
        <w:rPr>
          <w:rFonts w:ascii="Verdana" w:eastAsia="Verdana" w:hAnsi="Verdana" w:cs="Verdana"/>
          <w:sz w:val="20"/>
          <w:szCs w:val="20"/>
        </w:rPr>
      </w:pPr>
    </w:p>
    <w:p w14:paraId="146764D7" w14:textId="77777777" w:rsidR="003B5665" w:rsidRPr="001A3FFD" w:rsidRDefault="003B5665" w:rsidP="003B56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right="-801"/>
        <w:jc w:val="both"/>
        <w:rPr>
          <w:rFonts w:ascii="Verdana" w:eastAsia="Verdana" w:hAnsi="Verdana" w:cs="Verdana"/>
          <w:sz w:val="20"/>
          <w:szCs w:val="20"/>
        </w:rPr>
      </w:pPr>
      <w:r w:rsidRPr="001A3FFD">
        <w:rPr>
          <w:rFonts w:ascii="Verdana" w:eastAsia="Verdana" w:hAnsi="Verdana" w:cs="Verdana"/>
          <w:sz w:val="20"/>
          <w:szCs w:val="20"/>
        </w:rPr>
        <w:t xml:space="preserve">El análisis del Índice de Precios al Consumidor, del Salario Mínimo Mensual Legal Vigente y de la tasa de desempleo permite contextualizar las condiciones económicas en las que se ejecutará el contrato, evidenciando la necesidad de contar con una planeación financiera suficiente y realista que garantice la adecuada ejecución de las actividades, la cobertura territorial prevista y la participación efectiva de las comunidades portadoras. Asimismo, estos indicadores refuerzan la importancia de la inversión </w:t>
      </w:r>
      <w:r w:rsidRPr="001A3FFD">
        <w:rPr>
          <w:rFonts w:ascii="Verdana" w:eastAsia="Verdana" w:hAnsi="Verdana" w:cs="Verdana"/>
          <w:sz w:val="20"/>
          <w:szCs w:val="20"/>
        </w:rPr>
        <w:lastRenderedPageBreak/>
        <w:t>pública en proyectos culturales con enfoque diferencial, impacto social y capacidad de dinamización económica en territorios históricamente excluidos.</w:t>
      </w:r>
    </w:p>
    <w:p w14:paraId="5D943E88" w14:textId="77777777" w:rsidR="003B5665" w:rsidRPr="001A3FFD" w:rsidRDefault="003B5665" w:rsidP="003B56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right="-801"/>
        <w:rPr>
          <w:rFonts w:ascii="Verdana" w:eastAsia="Verdana" w:hAnsi="Verdana" w:cs="Verdana"/>
          <w:sz w:val="20"/>
          <w:szCs w:val="20"/>
        </w:rPr>
      </w:pPr>
    </w:p>
    <w:p w14:paraId="1B2FCA9D" w14:textId="2D92C8B8" w:rsidR="003B5665" w:rsidRPr="001A3FFD" w:rsidRDefault="003B5665" w:rsidP="003B56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right="-801"/>
        <w:jc w:val="both"/>
        <w:rPr>
          <w:rFonts w:ascii="Verdana" w:eastAsia="Verdana" w:hAnsi="Verdana" w:cs="Verdana"/>
          <w:sz w:val="20"/>
          <w:szCs w:val="20"/>
        </w:rPr>
      </w:pPr>
      <w:r w:rsidRPr="001A3FFD">
        <w:rPr>
          <w:rFonts w:ascii="Verdana" w:eastAsia="Verdana" w:hAnsi="Verdana" w:cs="Verdana"/>
          <w:sz w:val="20"/>
          <w:szCs w:val="20"/>
        </w:rPr>
        <w:t xml:space="preserve">Desde el punto de vista técnico y conceptual, se establece que la implementación de acciones de salvaguardia del Patrimonio Cultural Inmaterial exige la participación activa de las comunidades, la articulación institucional y el fortalecimiento de capacidades, elementos que solo pueden garantizarse mediante organizaciones representativas, legítimas y con experiencia demostrada en el manejo de la manifestación cultural objeto del contrato. En este contexto, la </w:t>
      </w:r>
      <w:r w:rsidR="002F07A8">
        <w:rPr>
          <w:rFonts w:ascii="Verdana" w:eastAsia="Verdana" w:hAnsi="Verdana" w:cs="Verdana"/>
          <w:sz w:val="20"/>
          <w:szCs w:val="20"/>
        </w:rPr>
        <w:t xml:space="preserve">OPIAC </w:t>
      </w:r>
      <w:r w:rsidRPr="001A3FFD">
        <w:rPr>
          <w:rFonts w:ascii="Verdana" w:eastAsia="Verdana" w:hAnsi="Verdana" w:cs="Verdana"/>
          <w:sz w:val="20"/>
          <w:szCs w:val="20"/>
        </w:rPr>
        <w:t>cuenta con la idoneidad técnica, organizativa y comunitaria necesaria para ejecutar el proyecto.</w:t>
      </w:r>
    </w:p>
    <w:p w14:paraId="137CAF65" w14:textId="77777777" w:rsidR="003B5665" w:rsidRPr="001A3FFD" w:rsidRDefault="003B5665" w:rsidP="003B56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right="-801"/>
        <w:rPr>
          <w:rFonts w:ascii="Verdana" w:eastAsia="Verdana" w:hAnsi="Verdana" w:cs="Verdana"/>
          <w:sz w:val="20"/>
          <w:szCs w:val="20"/>
        </w:rPr>
      </w:pPr>
    </w:p>
    <w:p w14:paraId="31617EAC" w14:textId="77777777" w:rsidR="003B5665" w:rsidRPr="001A3FFD" w:rsidRDefault="003B5665" w:rsidP="003B56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right="-801"/>
        <w:jc w:val="both"/>
        <w:rPr>
          <w:rFonts w:ascii="Verdana" w:eastAsia="Verdana" w:hAnsi="Verdana" w:cs="Verdana"/>
          <w:sz w:val="20"/>
          <w:szCs w:val="20"/>
        </w:rPr>
      </w:pPr>
      <w:r w:rsidRPr="001A3FFD">
        <w:rPr>
          <w:rFonts w:ascii="Verdana" w:eastAsia="Verdana" w:hAnsi="Verdana" w:cs="Verdana"/>
          <w:sz w:val="20"/>
          <w:szCs w:val="20"/>
        </w:rPr>
        <w:t>En consecuencia, el valor del contrato proyectado para la vigencia 2026 se encuentra debidamente sustentado en un análisis integral de mercado, que combina antecedentes históricos, análisis estadístico, tendencia contractual, comparabilidad técnica y contexto económico vigente, garantizando una determinación presupuestal razonable, proporcional y coherente con las necesidades reales del proyecto. Todo ello en observancia de los principios de planeación, economía, eficiencia y responsabilidad que rigen la contratación estatal.</w:t>
      </w:r>
    </w:p>
    <w:p w14:paraId="0445632E" w14:textId="77777777" w:rsidR="003B5665" w:rsidRPr="001A3FFD" w:rsidRDefault="003B5665" w:rsidP="003B56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right="-801"/>
        <w:rPr>
          <w:rFonts w:ascii="Verdana" w:eastAsia="Verdana" w:hAnsi="Verdana" w:cs="Verdana"/>
          <w:sz w:val="20"/>
          <w:szCs w:val="20"/>
        </w:rPr>
      </w:pPr>
    </w:p>
    <w:p w14:paraId="1DD8C7A0" w14:textId="484F457D" w:rsidR="00AA0989" w:rsidRPr="001A3FFD" w:rsidRDefault="003B5665" w:rsidP="003B56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right="-801"/>
        <w:jc w:val="both"/>
        <w:rPr>
          <w:rFonts w:ascii="Verdana" w:eastAsia="Verdana" w:hAnsi="Verdana" w:cs="Verdana"/>
          <w:sz w:val="20"/>
          <w:szCs w:val="20"/>
          <w:lang w:val="es-MX" w:eastAsia="en-US"/>
        </w:rPr>
      </w:pPr>
      <w:r w:rsidRPr="001A3FFD">
        <w:rPr>
          <w:rFonts w:ascii="Verdana" w:eastAsia="Verdana" w:hAnsi="Verdana" w:cs="Verdana"/>
          <w:sz w:val="20"/>
          <w:szCs w:val="20"/>
        </w:rPr>
        <w:t xml:space="preserve">Por lo anterior, se concluye que la contratación directa, así como el valor estimado y las condiciones técnicas y financieras del contrato, resultan procedentes, justificadas y acordes con el sector, permitiendo asegurar la adecuada ejecución de las acciones </w:t>
      </w:r>
      <w:r w:rsidR="002F07A8">
        <w:rPr>
          <w:rFonts w:ascii="Verdana" w:eastAsia="Verdana" w:hAnsi="Verdana" w:cs="Verdana"/>
          <w:sz w:val="20"/>
          <w:szCs w:val="20"/>
        </w:rPr>
        <w:t>propias del cumplimiento de los acuerdos de mesa del Plan Nacional de Desarrollo</w:t>
      </w:r>
      <w:r w:rsidR="00E9354A" w:rsidRPr="001A3FFD">
        <w:rPr>
          <w:rFonts w:ascii="Verdana" w:eastAsia="Verdana" w:hAnsi="Verdana" w:cs="Verdana"/>
          <w:sz w:val="20"/>
          <w:szCs w:val="20"/>
        </w:rPr>
        <w:t>.</w:t>
      </w:r>
    </w:p>
    <w:p w14:paraId="60742D60" w14:textId="77777777" w:rsidR="00AA0989" w:rsidRPr="001A3FFD" w:rsidRDefault="00AA0989" w:rsidP="0BE6246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right="-801"/>
        <w:jc w:val="both"/>
        <w:rPr>
          <w:rFonts w:ascii="Verdana" w:eastAsia="Verdana" w:hAnsi="Verdana" w:cs="Verdana"/>
          <w:sz w:val="20"/>
          <w:szCs w:val="20"/>
          <w:lang w:val="es-MX" w:eastAsia="en-US"/>
        </w:rPr>
      </w:pPr>
    </w:p>
    <w:p w14:paraId="71590060" w14:textId="206F148D" w:rsidR="00E96193" w:rsidRPr="001A3FFD" w:rsidRDefault="00AA0989" w:rsidP="00AA098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ind w:left="-567" w:right="-801"/>
        <w:jc w:val="both"/>
        <w:rPr>
          <w:rFonts w:ascii="Verdana" w:eastAsia="Verdana" w:hAnsi="Verdana" w:cs="Verdana"/>
          <w:sz w:val="20"/>
          <w:szCs w:val="20"/>
          <w:lang w:val="es-MX" w:eastAsia="en-US"/>
        </w:rPr>
      </w:pPr>
      <w:r w:rsidRPr="001A3FFD">
        <w:rPr>
          <w:rFonts w:ascii="Verdana" w:eastAsia="Verdana" w:hAnsi="Verdana" w:cs="Verdana"/>
          <w:sz w:val="20"/>
          <w:szCs w:val="20"/>
          <w:lang w:val="es-MX" w:eastAsia="en-US"/>
        </w:rPr>
        <w:t>Para</w:t>
      </w:r>
      <w:r w:rsidR="00E96193" w:rsidRPr="001A3FFD">
        <w:rPr>
          <w:rFonts w:ascii="Verdana" w:eastAsia="Verdana" w:hAnsi="Verdana" w:cs="Verdana"/>
          <w:sz w:val="20"/>
          <w:szCs w:val="20"/>
          <w:lang w:val="es-MX" w:eastAsia="en-US"/>
        </w:rPr>
        <w:t xml:space="preserve"> constancia firman en Bogotá, D.C.</w:t>
      </w:r>
    </w:p>
    <w:p w14:paraId="5DFF9FCF" w14:textId="77777777" w:rsidR="001E1294" w:rsidRPr="001A3FFD" w:rsidRDefault="001E1294" w:rsidP="001E1294">
      <w:pPr>
        <w:ind w:left="-567"/>
        <w:jc w:val="both"/>
        <w:rPr>
          <w:rFonts w:ascii="Verdana" w:hAnsi="Verdana"/>
          <w:sz w:val="20"/>
          <w:szCs w:val="20"/>
        </w:rPr>
      </w:pPr>
    </w:p>
    <w:p w14:paraId="1498C3DF" w14:textId="69543199" w:rsidR="001E1294" w:rsidRPr="001A3FFD" w:rsidRDefault="001E1294" w:rsidP="001E1294">
      <w:pPr>
        <w:ind w:left="-567"/>
        <w:jc w:val="both"/>
        <w:rPr>
          <w:rFonts w:ascii="Verdana" w:hAnsi="Verdana"/>
          <w:sz w:val="20"/>
          <w:szCs w:val="20"/>
        </w:rPr>
      </w:pPr>
      <w:r w:rsidRPr="001A3FFD">
        <w:rPr>
          <w:rFonts w:ascii="Verdana" w:hAnsi="Verdana"/>
          <w:sz w:val="20"/>
          <w:szCs w:val="20"/>
        </w:rPr>
        <w:t>Cordialmente,</w:t>
      </w:r>
    </w:p>
    <w:p w14:paraId="439EF6B0" w14:textId="77777777" w:rsidR="001E1294" w:rsidRPr="001A3FFD" w:rsidRDefault="001E1294" w:rsidP="001E1294">
      <w:pPr>
        <w:jc w:val="both"/>
        <w:rPr>
          <w:rFonts w:ascii="Verdana" w:hAnsi="Verdana"/>
          <w:sz w:val="20"/>
          <w:szCs w:val="20"/>
        </w:rPr>
      </w:pPr>
    </w:p>
    <w:p w14:paraId="446A8C03" w14:textId="77777777" w:rsidR="001E1294" w:rsidRPr="001A3FFD" w:rsidRDefault="001E1294" w:rsidP="001E1294">
      <w:pPr>
        <w:jc w:val="both"/>
        <w:rPr>
          <w:rFonts w:ascii="Verdana" w:hAnsi="Verdana"/>
          <w:sz w:val="20"/>
          <w:szCs w:val="20"/>
        </w:rPr>
      </w:pPr>
    </w:p>
    <w:p w14:paraId="3EDDB249" w14:textId="01E4CA11" w:rsidR="001E1294" w:rsidRPr="001A3FFD" w:rsidRDefault="001E1294" w:rsidP="001E1294">
      <w:pPr>
        <w:ind w:left="-567"/>
        <w:jc w:val="both"/>
        <w:rPr>
          <w:rFonts w:ascii="Verdana" w:hAnsi="Verdana"/>
          <w:b/>
          <w:bCs/>
          <w:sz w:val="20"/>
          <w:szCs w:val="20"/>
        </w:rPr>
      </w:pPr>
    </w:p>
    <w:p w14:paraId="336EEE62" w14:textId="68B720A5" w:rsidR="001E1294" w:rsidRPr="001A3FFD" w:rsidRDefault="00474AEF" w:rsidP="00A23D2F">
      <w:pPr>
        <w:ind w:left="-567"/>
        <w:jc w:val="both"/>
        <w:rPr>
          <w:rFonts w:ascii="Verdana" w:hAnsi="Verdana"/>
          <w:sz w:val="20"/>
          <w:szCs w:val="20"/>
        </w:rPr>
      </w:pPr>
      <w:proofErr w:type="spellStart"/>
      <w:r>
        <w:rPr>
          <w:rFonts w:ascii="Verdana" w:hAnsi="Verdana"/>
          <w:b/>
          <w:bCs/>
          <w:sz w:val="20"/>
          <w:szCs w:val="20"/>
        </w:rPr>
        <w:t>xxxxxxxxxxxxxxxxxxxxxxxx</w:t>
      </w:r>
      <w:proofErr w:type="spellEnd"/>
    </w:p>
    <w:p w14:paraId="450B93ED" w14:textId="77777777" w:rsidR="001E1294" w:rsidRPr="001A3FFD" w:rsidRDefault="001E1294" w:rsidP="001E1294">
      <w:pPr>
        <w:ind w:left="-567"/>
        <w:jc w:val="both"/>
        <w:rPr>
          <w:rFonts w:ascii="Verdana" w:hAnsi="Verdana"/>
          <w:sz w:val="20"/>
          <w:szCs w:val="20"/>
        </w:rPr>
      </w:pPr>
    </w:p>
    <w:p w14:paraId="33F511E1" w14:textId="5AB4A898" w:rsidR="001E1294" w:rsidRPr="001A3FFD" w:rsidRDefault="001E1294" w:rsidP="0BE6246B">
      <w:pPr>
        <w:ind w:left="-567"/>
        <w:jc w:val="both"/>
        <w:rPr>
          <w:rFonts w:ascii="Verdana" w:eastAsia="Verdana" w:hAnsi="Verdana" w:cs="Verdana"/>
          <w:i/>
          <w:iCs/>
          <w:sz w:val="16"/>
          <w:szCs w:val="16"/>
        </w:rPr>
      </w:pPr>
      <w:r w:rsidRPr="001A3FFD">
        <w:rPr>
          <w:rFonts w:ascii="Verdana" w:hAnsi="Verdana"/>
          <w:i/>
          <w:iCs/>
          <w:sz w:val="16"/>
          <w:szCs w:val="16"/>
        </w:rPr>
        <w:t>Proyectó:</w:t>
      </w:r>
      <w:r w:rsidR="6D9DFF05" w:rsidRPr="001A3FFD">
        <w:rPr>
          <w:rFonts w:ascii="Verdana" w:hAnsi="Verdana"/>
          <w:i/>
          <w:iCs/>
          <w:sz w:val="16"/>
          <w:szCs w:val="16"/>
        </w:rPr>
        <w:t xml:space="preserve"> </w:t>
      </w:r>
    </w:p>
    <w:p w14:paraId="515A3251" w14:textId="5FB4C827" w:rsidR="001E1294" w:rsidRPr="001A3FFD" w:rsidRDefault="1BED34C3" w:rsidP="0BE6246B">
      <w:pPr>
        <w:ind w:left="-567"/>
        <w:jc w:val="both"/>
        <w:rPr>
          <w:rFonts w:ascii="Verdana" w:hAnsi="Verdana"/>
          <w:i/>
          <w:iCs/>
          <w:sz w:val="16"/>
          <w:szCs w:val="16"/>
        </w:rPr>
      </w:pPr>
      <w:r w:rsidRPr="001A3FFD">
        <w:rPr>
          <w:rStyle w:val="normaltextrun"/>
          <w:rFonts w:ascii="Verdana" w:eastAsia="Verdana" w:hAnsi="Verdana" w:cs="Verdana"/>
          <w:i/>
          <w:iCs/>
          <w:sz w:val="16"/>
          <w:szCs w:val="16"/>
          <w:lang w:val="es-ES"/>
        </w:rPr>
        <w:t xml:space="preserve">Revisó:   </w:t>
      </w:r>
    </w:p>
    <w:sectPr w:rsidR="001E1294" w:rsidRPr="001A3FFD" w:rsidSect="000C2EF9">
      <w:headerReference w:type="default" r:id="rId36"/>
      <w:footerReference w:type="even" r:id="rId37"/>
      <w:footerReference w:type="default" r:id="rId38"/>
      <w:pgSz w:w="12240" w:h="15840"/>
      <w:pgMar w:top="1417" w:right="1701" w:bottom="1417" w:left="1701" w:header="567"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F0B500" w14:textId="77777777" w:rsidR="00667086" w:rsidRDefault="00667086" w:rsidP="00DD1EC8">
      <w:r>
        <w:separator/>
      </w:r>
    </w:p>
  </w:endnote>
  <w:endnote w:type="continuationSeparator" w:id="0">
    <w:p w14:paraId="72064347" w14:textId="77777777" w:rsidR="00667086" w:rsidRDefault="00667086" w:rsidP="00DD1E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ＭＳ 明朝">
    <w:panose1 w:val="00000000000000000000"/>
    <w:charset w:val="8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Work Sans">
    <w:altName w:val="Calibri"/>
    <w:charset w:val="00"/>
    <w:family w:val="auto"/>
    <w:pitch w:val="variable"/>
    <w:sig w:usb0="A00000FF" w:usb1="5000E07B" w:usb2="00000000" w:usb3="00000000" w:csb0="00000193" w:csb1="00000000"/>
  </w:font>
  <w:font w:name="Segoe UI">
    <w:panose1 w:val="020B0502040204020203"/>
    <w:charset w:val="00"/>
    <w:family w:val="swiss"/>
    <w:pitch w:val="variable"/>
    <w:sig w:usb0="E4002EFF" w:usb1="C000E47F" w:usb2="00000009" w:usb3="00000000" w:csb0="000001FF" w:csb1="00000000"/>
  </w:font>
  <w:font w:name="Levenim MT">
    <w:charset w:val="B1"/>
    <w:family w:val="auto"/>
    <w:pitch w:val="variable"/>
    <w:sig w:usb0="00000803" w:usb1="00000000" w:usb2="00000000" w:usb3="00000000" w:csb0="0000002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AF4F87" w14:textId="77777777" w:rsidR="00DC24AD" w:rsidRDefault="00DC24AD">
    <w:pPr>
      <w:pStyle w:val="Piedepgina"/>
    </w:pPr>
  </w:p>
  <w:p w14:paraId="2E8AB6CD" w14:textId="77777777" w:rsidR="00DC24AD" w:rsidRDefault="00DC24A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D9C13" w14:textId="5C3BBD48" w:rsidR="00DC24AD" w:rsidRPr="003428A6" w:rsidRDefault="00DC24AD" w:rsidP="003428A6">
    <w:pPr>
      <w:tabs>
        <w:tab w:val="center" w:pos="4419"/>
        <w:tab w:val="right" w:pos="8838"/>
      </w:tabs>
      <w:jc w:val="center"/>
      <w:rPr>
        <w:rFonts w:ascii="Verdana" w:eastAsia="Calibri" w:hAnsi="Verdana"/>
        <w:sz w:val="20"/>
        <w:szCs w:val="20"/>
        <w:lang w:eastAsia="en-US"/>
      </w:rPr>
    </w:pPr>
    <w:r w:rsidRPr="003428A6">
      <w:rPr>
        <w:rFonts w:ascii="Verdana" w:eastAsia="Calibri" w:hAnsi="Verdana"/>
        <w:i/>
        <w:iCs/>
        <w:color w:val="000000"/>
        <w:sz w:val="20"/>
        <w:szCs w:val="20"/>
        <w:lang w:eastAsia="en-US"/>
      </w:rPr>
      <w:t xml:space="preserve">“Se consideran copias controladas los documentos que se encuentran </w:t>
    </w:r>
    <w:r w:rsidRPr="003428A6">
      <w:rPr>
        <w:rFonts w:ascii="Verdana" w:eastAsia="Calibri" w:hAnsi="Verdana"/>
        <w:i/>
        <w:iCs/>
        <w:color w:val="000000"/>
        <w:sz w:val="20"/>
        <w:szCs w:val="20"/>
        <w:bdr w:val="none" w:sz="0" w:space="0" w:color="auto" w:frame="1"/>
        <w:lang w:eastAsia="en-US"/>
      </w:rPr>
      <w:t xml:space="preserve">vigentes </w:t>
    </w:r>
    <w:r w:rsidRPr="003428A6">
      <w:rPr>
        <w:rFonts w:ascii="Verdana" w:eastAsia="Calibri" w:hAnsi="Verdana"/>
        <w:i/>
        <w:iCs/>
        <w:color w:val="000000"/>
        <w:sz w:val="20"/>
        <w:szCs w:val="20"/>
        <w:lang w:eastAsia="en-US"/>
      </w:rPr>
      <w:t>en ISOLUCIÓN</w:t>
    </w:r>
    <w:r w:rsidRPr="003428A6">
      <w:rPr>
        <w:rFonts w:ascii="Verdana" w:eastAsia="Calibri" w:hAnsi="Verdana"/>
        <w:color w:val="000000"/>
        <w:sz w:val="20"/>
        <w:szCs w:val="20"/>
        <w:lang w:eastAsia="en-US"/>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F54461" w14:textId="77777777" w:rsidR="00667086" w:rsidRDefault="00667086" w:rsidP="00DD1EC8">
      <w:r>
        <w:separator/>
      </w:r>
    </w:p>
  </w:footnote>
  <w:footnote w:type="continuationSeparator" w:id="0">
    <w:p w14:paraId="444510ED" w14:textId="77777777" w:rsidR="00667086" w:rsidRDefault="00667086" w:rsidP="00DD1E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9214" w:type="dxa"/>
      <w:jc w:val="center"/>
      <w:tblLayout w:type="fixed"/>
      <w:tblCellMar>
        <w:left w:w="70" w:type="dxa"/>
        <w:right w:w="70" w:type="dxa"/>
      </w:tblCellMar>
      <w:tblLook w:val="04A0" w:firstRow="1" w:lastRow="0" w:firstColumn="1" w:lastColumn="0" w:noHBand="0" w:noVBand="1"/>
    </w:tblPr>
    <w:tblGrid>
      <w:gridCol w:w="1701"/>
      <w:gridCol w:w="5382"/>
      <w:gridCol w:w="2131"/>
    </w:tblGrid>
    <w:tr w:rsidR="00DC24AD" w:rsidRPr="003428A6" w14:paraId="2CA52BD7" w14:textId="77777777" w:rsidTr="2FEEAF54">
      <w:trPr>
        <w:trHeight w:val="355"/>
        <w:jc w:val="center"/>
      </w:trPr>
      <w:tc>
        <w:tcPr>
          <w:tcW w:w="1701" w:type="dxa"/>
          <w:vMerge w:val="restart"/>
          <w:vAlign w:val="center"/>
        </w:tcPr>
        <w:p w14:paraId="704FFFBE" w14:textId="5E881820" w:rsidR="00DC24AD" w:rsidRPr="003428A6" w:rsidRDefault="00DC24AD" w:rsidP="2FEEAF54">
          <w:pPr>
            <w:jc w:val="center"/>
            <w:rPr>
              <w:rFonts w:ascii="Verdana" w:hAnsi="Verdana" w:cs="Levenim MT"/>
              <w:b/>
              <w:bCs/>
              <w:color w:val="006600"/>
              <w:sz w:val="20"/>
              <w:szCs w:val="20"/>
              <w:u w:val="single"/>
            </w:rPr>
          </w:pPr>
          <w:r w:rsidRPr="00001E97">
            <w:rPr>
              <w:noProof/>
            </w:rPr>
            <w:drawing>
              <wp:anchor distT="0" distB="0" distL="114300" distR="114300" simplePos="0" relativeHeight="251658241" behindDoc="0" locked="0" layoutInCell="1" allowOverlap="1" wp14:anchorId="261275E4" wp14:editId="4548E0B3">
                <wp:simplePos x="0" y="0"/>
                <wp:positionH relativeFrom="column">
                  <wp:posOffset>47625</wp:posOffset>
                </wp:positionH>
                <wp:positionV relativeFrom="paragraph">
                  <wp:posOffset>-342900</wp:posOffset>
                </wp:positionV>
                <wp:extent cx="921385" cy="855345"/>
                <wp:effectExtent l="0" t="0" r="0" b="0"/>
                <wp:wrapNone/>
                <wp:docPr id="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433135" name=""/>
                        <pic:cNvPicPr/>
                      </pic:nvPicPr>
                      <pic:blipFill>
                        <a:blip r:embed="rId1">
                          <a:extLst>
                            <a:ext uri="{28A0092B-C50C-407E-A947-70E740481C1C}">
                              <a14:useLocalDpi xmlns:a14="http://schemas.microsoft.com/office/drawing/2010/main" val="0"/>
                            </a:ext>
                          </a:extLst>
                        </a:blip>
                        <a:stretch>
                          <a:fillRect/>
                        </a:stretch>
                      </pic:blipFill>
                      <pic:spPr>
                        <a:xfrm>
                          <a:off x="0" y="0"/>
                          <a:ext cx="921385" cy="855345"/>
                        </a:xfrm>
                        <a:prstGeom prst="rect">
                          <a:avLst/>
                        </a:prstGeom>
                      </pic:spPr>
                    </pic:pic>
                  </a:graphicData>
                </a:graphic>
                <wp14:sizeRelH relativeFrom="page">
                  <wp14:pctWidth>0</wp14:pctWidth>
                </wp14:sizeRelH>
                <wp14:sizeRelV relativeFrom="page">
                  <wp14:pctHeight>0</wp14:pctHeight>
                </wp14:sizeRelV>
              </wp:anchor>
            </w:drawing>
          </w:r>
        </w:p>
      </w:tc>
      <w:tc>
        <w:tcPr>
          <w:tcW w:w="5382" w:type="dxa"/>
          <w:vMerge w:val="restart"/>
          <w:vAlign w:val="center"/>
        </w:tcPr>
        <w:p w14:paraId="48130958" w14:textId="2EC3C8D4" w:rsidR="00DC24AD" w:rsidRPr="003428A6" w:rsidRDefault="00DC24AD" w:rsidP="003428A6">
          <w:pPr>
            <w:pStyle w:val="Encabezado"/>
            <w:jc w:val="center"/>
            <w:rPr>
              <w:rFonts w:ascii="Verdana" w:hAnsi="Verdana" w:cs="Arial"/>
              <w:b/>
              <w:bCs/>
              <w:sz w:val="22"/>
              <w:szCs w:val="22"/>
            </w:rPr>
          </w:pPr>
          <w:r w:rsidRPr="003428A6">
            <w:rPr>
              <w:rFonts w:ascii="Verdana" w:hAnsi="Verdana" w:cs="Arial"/>
              <w:b/>
              <w:bCs/>
              <w:sz w:val="22"/>
              <w:szCs w:val="22"/>
            </w:rPr>
            <w:t>ANÁLISIS DEL SECTOR NO PS</w:t>
          </w:r>
        </w:p>
      </w:tc>
      <w:tc>
        <w:tcPr>
          <w:tcW w:w="2131" w:type="dxa"/>
          <w:vAlign w:val="center"/>
        </w:tcPr>
        <w:p w14:paraId="1D5A4F69" w14:textId="77777777" w:rsidR="00DC24AD" w:rsidRPr="003428A6" w:rsidRDefault="00DC24AD" w:rsidP="003428A6">
          <w:pPr>
            <w:pStyle w:val="Encabezado"/>
            <w:spacing w:before="80" w:after="80"/>
            <w:rPr>
              <w:rFonts w:ascii="Verdana" w:hAnsi="Verdana" w:cs="Arial"/>
              <w:sz w:val="18"/>
              <w:szCs w:val="18"/>
            </w:rPr>
          </w:pPr>
          <w:r w:rsidRPr="003428A6">
            <w:rPr>
              <w:rFonts w:ascii="Verdana" w:hAnsi="Verdana" w:cs="Arial"/>
              <w:sz w:val="18"/>
              <w:szCs w:val="18"/>
            </w:rPr>
            <w:t xml:space="preserve">Página </w:t>
          </w:r>
          <w:r w:rsidRPr="003428A6">
            <w:rPr>
              <w:rFonts w:ascii="Verdana" w:hAnsi="Verdana" w:cs="Arial"/>
              <w:b/>
              <w:bCs/>
              <w:sz w:val="18"/>
              <w:szCs w:val="18"/>
            </w:rPr>
            <w:fldChar w:fldCharType="begin"/>
          </w:r>
          <w:r w:rsidRPr="003428A6">
            <w:rPr>
              <w:rFonts w:ascii="Verdana" w:hAnsi="Verdana" w:cs="Arial"/>
              <w:b/>
              <w:bCs/>
              <w:sz w:val="18"/>
              <w:szCs w:val="18"/>
            </w:rPr>
            <w:instrText xml:space="preserve"> PAGE   \* MERGEFORMAT </w:instrText>
          </w:r>
          <w:r w:rsidRPr="003428A6">
            <w:rPr>
              <w:rFonts w:ascii="Verdana" w:hAnsi="Verdana" w:cs="Arial"/>
              <w:b/>
              <w:bCs/>
              <w:sz w:val="18"/>
              <w:szCs w:val="18"/>
            </w:rPr>
            <w:fldChar w:fldCharType="separate"/>
          </w:r>
          <w:r w:rsidRPr="003428A6">
            <w:rPr>
              <w:rFonts w:ascii="Verdana" w:hAnsi="Verdana" w:cs="Arial"/>
              <w:b/>
              <w:bCs/>
              <w:noProof/>
              <w:sz w:val="18"/>
              <w:szCs w:val="18"/>
            </w:rPr>
            <w:t>21</w:t>
          </w:r>
          <w:r w:rsidRPr="003428A6">
            <w:rPr>
              <w:rFonts w:ascii="Verdana" w:hAnsi="Verdana" w:cs="Arial"/>
              <w:b/>
              <w:bCs/>
              <w:sz w:val="18"/>
              <w:szCs w:val="18"/>
            </w:rPr>
            <w:fldChar w:fldCharType="end"/>
          </w:r>
          <w:r w:rsidRPr="003428A6">
            <w:rPr>
              <w:rFonts w:ascii="Verdana" w:hAnsi="Verdana" w:cs="Arial"/>
              <w:b/>
              <w:bCs/>
              <w:sz w:val="18"/>
              <w:szCs w:val="18"/>
            </w:rPr>
            <w:t xml:space="preserve"> </w:t>
          </w:r>
          <w:r w:rsidRPr="003428A6">
            <w:rPr>
              <w:rFonts w:ascii="Verdana" w:hAnsi="Verdana" w:cs="Arial"/>
              <w:sz w:val="18"/>
              <w:szCs w:val="18"/>
            </w:rPr>
            <w:t>de</w:t>
          </w:r>
          <w:r w:rsidRPr="003428A6">
            <w:rPr>
              <w:rFonts w:ascii="Verdana" w:hAnsi="Verdana" w:cs="Arial"/>
              <w:b/>
              <w:bCs/>
              <w:sz w:val="18"/>
              <w:szCs w:val="18"/>
            </w:rPr>
            <w:t xml:space="preserve"> </w:t>
          </w:r>
          <w:r w:rsidRPr="003428A6">
            <w:rPr>
              <w:rFonts w:ascii="Verdana" w:hAnsi="Verdana" w:cs="Arial"/>
              <w:b/>
              <w:bCs/>
              <w:sz w:val="18"/>
              <w:szCs w:val="18"/>
            </w:rPr>
            <w:fldChar w:fldCharType="begin"/>
          </w:r>
          <w:r w:rsidRPr="003428A6">
            <w:rPr>
              <w:rFonts w:ascii="Verdana" w:hAnsi="Verdana" w:cs="Arial"/>
              <w:b/>
              <w:bCs/>
              <w:sz w:val="18"/>
              <w:szCs w:val="18"/>
            </w:rPr>
            <w:instrText xml:space="preserve"> NUMPAGES   \* MERGEFORMAT </w:instrText>
          </w:r>
          <w:r w:rsidRPr="003428A6">
            <w:rPr>
              <w:rFonts w:ascii="Verdana" w:hAnsi="Verdana" w:cs="Arial"/>
              <w:b/>
              <w:bCs/>
              <w:sz w:val="18"/>
              <w:szCs w:val="18"/>
            </w:rPr>
            <w:fldChar w:fldCharType="separate"/>
          </w:r>
          <w:r w:rsidRPr="003428A6">
            <w:rPr>
              <w:rFonts w:ascii="Verdana" w:hAnsi="Verdana" w:cs="Arial"/>
              <w:b/>
              <w:bCs/>
              <w:noProof/>
              <w:sz w:val="18"/>
              <w:szCs w:val="18"/>
            </w:rPr>
            <w:t>21</w:t>
          </w:r>
          <w:r w:rsidRPr="003428A6">
            <w:rPr>
              <w:rFonts w:ascii="Verdana" w:hAnsi="Verdana" w:cs="Arial"/>
              <w:b/>
              <w:bCs/>
              <w:noProof/>
              <w:sz w:val="18"/>
              <w:szCs w:val="18"/>
            </w:rPr>
            <w:fldChar w:fldCharType="end"/>
          </w:r>
        </w:p>
      </w:tc>
    </w:tr>
    <w:tr w:rsidR="00DC24AD" w:rsidRPr="003428A6" w14:paraId="07A7ECC6" w14:textId="77777777" w:rsidTr="2FEEAF54">
      <w:tblPrEx>
        <w:tblCellMar>
          <w:left w:w="108" w:type="dxa"/>
          <w:right w:w="108" w:type="dxa"/>
        </w:tblCellMar>
      </w:tblPrEx>
      <w:trPr>
        <w:trHeight w:val="771"/>
        <w:jc w:val="center"/>
      </w:trPr>
      <w:tc>
        <w:tcPr>
          <w:tcW w:w="1701" w:type="dxa"/>
          <w:vMerge/>
        </w:tcPr>
        <w:p w14:paraId="578F8F86" w14:textId="77777777" w:rsidR="00DC24AD" w:rsidRPr="003428A6" w:rsidRDefault="00DC24AD" w:rsidP="00774FB6">
          <w:pPr>
            <w:rPr>
              <w:rFonts w:ascii="Verdana" w:hAnsi="Verdana"/>
              <w:noProof/>
              <w:sz w:val="20"/>
              <w:szCs w:val="20"/>
              <w:lang w:eastAsia="es-CO"/>
            </w:rPr>
          </w:pPr>
        </w:p>
      </w:tc>
      <w:tc>
        <w:tcPr>
          <w:tcW w:w="5382" w:type="dxa"/>
          <w:vMerge/>
          <w:vAlign w:val="center"/>
        </w:tcPr>
        <w:p w14:paraId="3981FF44" w14:textId="77777777" w:rsidR="00DC24AD" w:rsidRPr="003428A6" w:rsidRDefault="00DC24AD" w:rsidP="00774FB6">
          <w:pPr>
            <w:pStyle w:val="Encabezado"/>
            <w:jc w:val="center"/>
            <w:rPr>
              <w:rFonts w:ascii="Verdana" w:hAnsi="Verdana" w:cs="Arial"/>
              <w:b/>
              <w:bCs/>
              <w:sz w:val="20"/>
              <w:szCs w:val="20"/>
            </w:rPr>
          </w:pPr>
        </w:p>
      </w:tc>
      <w:tc>
        <w:tcPr>
          <w:tcW w:w="2131" w:type="dxa"/>
          <w:vMerge w:val="restart"/>
          <w:tcBorders>
            <w:bottom w:val="single" w:sz="4" w:space="0" w:color="auto"/>
          </w:tcBorders>
          <w:vAlign w:val="center"/>
        </w:tcPr>
        <w:p w14:paraId="4B2AA9A5" w14:textId="33C9E854" w:rsidR="00DC24AD" w:rsidRPr="003428A6" w:rsidRDefault="00DC24AD" w:rsidP="003428A6">
          <w:pPr>
            <w:pStyle w:val="TableParagraph"/>
            <w:spacing w:before="80" w:after="80"/>
            <w:rPr>
              <w:rFonts w:ascii="Verdana" w:hAnsi="Verdana"/>
              <w:bCs/>
              <w:sz w:val="18"/>
              <w:szCs w:val="18"/>
            </w:rPr>
          </w:pPr>
          <w:r w:rsidRPr="003428A6">
            <w:rPr>
              <w:rFonts w:ascii="Verdana" w:hAnsi="Verdana"/>
              <w:b/>
              <w:bCs/>
              <w:sz w:val="18"/>
              <w:szCs w:val="18"/>
            </w:rPr>
            <w:t>Código:</w:t>
          </w:r>
          <w:r w:rsidRPr="003428A6">
            <w:rPr>
              <w:rFonts w:ascii="Verdana" w:hAnsi="Verdana"/>
              <w:b/>
              <w:bCs/>
              <w:spacing w:val="-5"/>
              <w:sz w:val="18"/>
              <w:szCs w:val="18"/>
            </w:rPr>
            <w:t xml:space="preserve"> </w:t>
          </w:r>
          <w:r w:rsidRPr="003428A6">
            <w:rPr>
              <w:rFonts w:ascii="Verdana" w:hAnsi="Verdana"/>
              <w:bCs/>
              <w:spacing w:val="-5"/>
              <w:sz w:val="18"/>
              <w:szCs w:val="18"/>
            </w:rPr>
            <w:t>F-GCC-048</w:t>
          </w:r>
        </w:p>
        <w:p w14:paraId="3EBB05E5" w14:textId="4B56E986" w:rsidR="00DC24AD" w:rsidRPr="004A763A" w:rsidRDefault="00DC24AD" w:rsidP="003428A6">
          <w:pPr>
            <w:pStyle w:val="TableParagraph"/>
            <w:spacing w:before="80" w:after="80"/>
            <w:rPr>
              <w:rFonts w:ascii="Verdana" w:hAnsi="Verdana"/>
              <w:b/>
              <w:bCs/>
              <w:sz w:val="18"/>
              <w:szCs w:val="18"/>
            </w:rPr>
          </w:pPr>
          <w:r w:rsidRPr="004A763A">
            <w:rPr>
              <w:rFonts w:ascii="Verdana" w:hAnsi="Verdana"/>
              <w:b/>
              <w:bCs/>
              <w:sz w:val="18"/>
              <w:szCs w:val="18"/>
            </w:rPr>
            <w:t>Versión:</w:t>
          </w:r>
          <w:r w:rsidRPr="004A763A">
            <w:rPr>
              <w:rFonts w:ascii="Verdana" w:hAnsi="Verdana"/>
              <w:b/>
              <w:bCs/>
              <w:spacing w:val="-2"/>
              <w:sz w:val="18"/>
              <w:szCs w:val="18"/>
            </w:rPr>
            <w:t xml:space="preserve"> </w:t>
          </w:r>
          <w:r w:rsidRPr="004A763A">
            <w:rPr>
              <w:rFonts w:ascii="Verdana" w:hAnsi="Verdana"/>
              <w:bCs/>
              <w:spacing w:val="-2"/>
              <w:sz w:val="18"/>
              <w:szCs w:val="18"/>
            </w:rPr>
            <w:t>1</w:t>
          </w:r>
        </w:p>
        <w:p w14:paraId="27DDEBB3" w14:textId="78F8B4EF" w:rsidR="00DC24AD" w:rsidRPr="003428A6" w:rsidRDefault="00DC24AD" w:rsidP="003428A6">
          <w:pPr>
            <w:pStyle w:val="Encabezado"/>
            <w:spacing w:before="80" w:after="80"/>
            <w:rPr>
              <w:rFonts w:ascii="Verdana" w:hAnsi="Verdana" w:cs="Arial"/>
              <w:bCs/>
              <w:sz w:val="18"/>
              <w:szCs w:val="18"/>
            </w:rPr>
          </w:pPr>
          <w:r w:rsidRPr="004A763A">
            <w:rPr>
              <w:rFonts w:ascii="Verdana" w:hAnsi="Verdana"/>
              <w:b/>
              <w:bCs/>
              <w:sz w:val="18"/>
              <w:szCs w:val="18"/>
            </w:rPr>
            <w:t xml:space="preserve">Fecha: </w:t>
          </w:r>
          <w:r w:rsidRPr="004A763A">
            <w:rPr>
              <w:rFonts w:ascii="Verdana" w:hAnsi="Verdana"/>
              <w:bCs/>
              <w:sz w:val="18"/>
              <w:szCs w:val="18"/>
            </w:rPr>
            <w:t>31/01/2025</w:t>
          </w:r>
        </w:p>
      </w:tc>
    </w:tr>
    <w:tr w:rsidR="00DC24AD" w:rsidRPr="003428A6" w14:paraId="794F2ECE" w14:textId="77777777" w:rsidTr="2FEEAF54">
      <w:tblPrEx>
        <w:tblCellMar>
          <w:left w:w="108" w:type="dxa"/>
          <w:right w:w="108" w:type="dxa"/>
        </w:tblCellMar>
      </w:tblPrEx>
      <w:trPr>
        <w:trHeight w:val="545"/>
        <w:jc w:val="center"/>
      </w:trPr>
      <w:tc>
        <w:tcPr>
          <w:tcW w:w="1701" w:type="dxa"/>
          <w:vMerge/>
        </w:tcPr>
        <w:p w14:paraId="50332AFD" w14:textId="77777777" w:rsidR="00DC24AD" w:rsidRPr="003428A6" w:rsidRDefault="00DC24AD" w:rsidP="00774FB6">
          <w:pPr>
            <w:pStyle w:val="Encabezado"/>
            <w:rPr>
              <w:rFonts w:ascii="Verdana" w:hAnsi="Verdana"/>
              <w:sz w:val="20"/>
              <w:szCs w:val="20"/>
            </w:rPr>
          </w:pPr>
        </w:p>
      </w:tc>
      <w:tc>
        <w:tcPr>
          <w:tcW w:w="5382" w:type="dxa"/>
        </w:tcPr>
        <w:p w14:paraId="56051B8D" w14:textId="77777777" w:rsidR="00DC24AD" w:rsidRPr="003428A6" w:rsidRDefault="00DC24AD" w:rsidP="00774FB6">
          <w:pPr>
            <w:pStyle w:val="Encabezado"/>
            <w:jc w:val="center"/>
            <w:rPr>
              <w:rFonts w:ascii="Verdana" w:hAnsi="Verdana"/>
              <w:sz w:val="20"/>
              <w:szCs w:val="20"/>
            </w:rPr>
          </w:pPr>
          <w:r w:rsidRPr="003428A6">
            <w:rPr>
              <w:rFonts w:ascii="Verdana" w:hAnsi="Verdana"/>
              <w:noProof/>
              <w:sz w:val="20"/>
              <w:szCs w:val="20"/>
              <w:lang w:eastAsia="es-CO"/>
            </w:rPr>
            <w:drawing>
              <wp:anchor distT="0" distB="0" distL="114300" distR="114300" simplePos="0" relativeHeight="251658240" behindDoc="0" locked="0" layoutInCell="1" allowOverlap="1" wp14:anchorId="24FC357A" wp14:editId="7A9C4EB4">
                <wp:simplePos x="0" y="0"/>
                <wp:positionH relativeFrom="column">
                  <wp:posOffset>648335</wp:posOffset>
                </wp:positionH>
                <wp:positionV relativeFrom="paragraph">
                  <wp:posOffset>84455</wp:posOffset>
                </wp:positionV>
                <wp:extent cx="2190750" cy="210820"/>
                <wp:effectExtent l="0" t="0" r="0" b="0"/>
                <wp:wrapNone/>
                <wp:docPr id="26" name="Picture 140"/>
                <wp:cNvGraphicFramePr/>
                <a:graphic xmlns:a="http://schemas.openxmlformats.org/drawingml/2006/main">
                  <a:graphicData uri="http://schemas.openxmlformats.org/drawingml/2006/picture">
                    <pic:pic xmlns:pic="http://schemas.openxmlformats.org/drawingml/2006/picture">
                      <pic:nvPicPr>
                        <pic:cNvPr id="140" name="Picture 140"/>
                        <pic:cNvPicPr/>
                      </pic:nvPicPr>
                      <pic:blipFill>
                        <a:blip r:embed="rId2">
                          <a:extLst>
                            <a:ext uri="{28A0092B-C50C-407E-A947-70E740481C1C}">
                              <a14:useLocalDpi xmlns:a14="http://schemas.microsoft.com/office/drawing/2010/main" val="0"/>
                            </a:ext>
                          </a:extLst>
                        </a:blip>
                        <a:stretch>
                          <a:fillRect/>
                        </a:stretch>
                      </pic:blipFill>
                      <pic:spPr>
                        <a:xfrm>
                          <a:off x="0" y="0"/>
                          <a:ext cx="2190750" cy="210820"/>
                        </a:xfrm>
                        <a:prstGeom prst="rect">
                          <a:avLst/>
                        </a:prstGeom>
                      </pic:spPr>
                    </pic:pic>
                  </a:graphicData>
                </a:graphic>
              </wp:anchor>
            </w:drawing>
          </w:r>
        </w:p>
      </w:tc>
      <w:tc>
        <w:tcPr>
          <w:tcW w:w="2131" w:type="dxa"/>
          <w:vMerge/>
          <w:vAlign w:val="center"/>
        </w:tcPr>
        <w:p w14:paraId="1CFEE2CA" w14:textId="77777777" w:rsidR="00DC24AD" w:rsidRPr="003428A6" w:rsidRDefault="00DC24AD" w:rsidP="00774FB6">
          <w:pPr>
            <w:pStyle w:val="Encabezado"/>
            <w:rPr>
              <w:rFonts w:ascii="Verdana" w:hAnsi="Verdana" w:cs="Arial"/>
              <w:sz w:val="20"/>
              <w:szCs w:val="20"/>
            </w:rPr>
          </w:pPr>
        </w:p>
      </w:tc>
    </w:tr>
  </w:tbl>
  <w:p w14:paraId="046A9E39" w14:textId="77777777" w:rsidR="00DC24AD" w:rsidRDefault="00DC24AD" w:rsidP="000943C0">
    <w:pPr>
      <w:pStyle w:val="Encabezado"/>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F96CD7"/>
    <w:multiLevelType w:val="multilevel"/>
    <w:tmpl w:val="9A1E06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44E1A47"/>
    <w:multiLevelType w:val="hybridMultilevel"/>
    <w:tmpl w:val="089476BC"/>
    <w:lvl w:ilvl="0" w:tplc="01AA3030">
      <w:numFmt w:val="bullet"/>
      <w:lvlText w:val=""/>
      <w:lvlJc w:val="left"/>
      <w:pPr>
        <w:ind w:left="1068" w:hanging="360"/>
      </w:pPr>
      <w:rPr>
        <w:rFonts w:ascii="Symbol" w:eastAsia="Verdana" w:hAnsi="Symbol" w:cs="Verdana" w:hint="default"/>
        <w:b w:val="0"/>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1E9276FD"/>
    <w:multiLevelType w:val="hybridMultilevel"/>
    <w:tmpl w:val="3CFAC474"/>
    <w:lvl w:ilvl="0" w:tplc="064CE1B8">
      <w:start w:val="1"/>
      <w:numFmt w:val="bullet"/>
      <w:lvlText w:val="❖"/>
      <w:lvlJc w:val="left"/>
      <w:pPr>
        <w:ind w:left="720" w:hanging="360"/>
      </w:pPr>
      <w:rPr>
        <w:rFonts w:ascii="Noto Sans Symbols" w:eastAsia="Noto Sans Symbols" w:hAnsi="Noto Sans Symbols" w:cs="Noto Sans Symbols"/>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219F7776"/>
    <w:multiLevelType w:val="multilevel"/>
    <w:tmpl w:val="7B90A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318FC96"/>
    <w:multiLevelType w:val="hybridMultilevel"/>
    <w:tmpl w:val="CC845A06"/>
    <w:lvl w:ilvl="0" w:tplc="2A38ED52">
      <w:start w:val="1"/>
      <w:numFmt w:val="bullet"/>
      <w:lvlText w:val="·"/>
      <w:lvlJc w:val="left"/>
      <w:pPr>
        <w:ind w:left="720" w:hanging="360"/>
      </w:pPr>
      <w:rPr>
        <w:rFonts w:ascii="Symbol" w:hAnsi="Symbol" w:hint="default"/>
      </w:rPr>
    </w:lvl>
    <w:lvl w:ilvl="1" w:tplc="E3527682">
      <w:start w:val="1"/>
      <w:numFmt w:val="bullet"/>
      <w:lvlText w:val="o"/>
      <w:lvlJc w:val="left"/>
      <w:pPr>
        <w:ind w:left="1440" w:hanging="360"/>
      </w:pPr>
      <w:rPr>
        <w:rFonts w:ascii="Courier New" w:hAnsi="Courier New" w:hint="default"/>
      </w:rPr>
    </w:lvl>
    <w:lvl w:ilvl="2" w:tplc="EA3A30E2">
      <w:start w:val="1"/>
      <w:numFmt w:val="bullet"/>
      <w:lvlText w:val=""/>
      <w:lvlJc w:val="left"/>
      <w:pPr>
        <w:ind w:left="2160" w:hanging="360"/>
      </w:pPr>
      <w:rPr>
        <w:rFonts w:ascii="Wingdings" w:hAnsi="Wingdings" w:hint="default"/>
      </w:rPr>
    </w:lvl>
    <w:lvl w:ilvl="3" w:tplc="D44C12C0">
      <w:start w:val="1"/>
      <w:numFmt w:val="bullet"/>
      <w:lvlText w:val=""/>
      <w:lvlJc w:val="left"/>
      <w:pPr>
        <w:ind w:left="2880" w:hanging="360"/>
      </w:pPr>
      <w:rPr>
        <w:rFonts w:ascii="Symbol" w:hAnsi="Symbol" w:hint="default"/>
      </w:rPr>
    </w:lvl>
    <w:lvl w:ilvl="4" w:tplc="B2088E60">
      <w:start w:val="1"/>
      <w:numFmt w:val="bullet"/>
      <w:lvlText w:val="o"/>
      <w:lvlJc w:val="left"/>
      <w:pPr>
        <w:ind w:left="3600" w:hanging="360"/>
      </w:pPr>
      <w:rPr>
        <w:rFonts w:ascii="Courier New" w:hAnsi="Courier New" w:hint="default"/>
      </w:rPr>
    </w:lvl>
    <w:lvl w:ilvl="5" w:tplc="5BC8A08E">
      <w:start w:val="1"/>
      <w:numFmt w:val="bullet"/>
      <w:lvlText w:val=""/>
      <w:lvlJc w:val="left"/>
      <w:pPr>
        <w:ind w:left="4320" w:hanging="360"/>
      </w:pPr>
      <w:rPr>
        <w:rFonts w:ascii="Wingdings" w:hAnsi="Wingdings" w:hint="default"/>
      </w:rPr>
    </w:lvl>
    <w:lvl w:ilvl="6" w:tplc="DB9C6B70">
      <w:start w:val="1"/>
      <w:numFmt w:val="bullet"/>
      <w:lvlText w:val=""/>
      <w:lvlJc w:val="left"/>
      <w:pPr>
        <w:ind w:left="5040" w:hanging="360"/>
      </w:pPr>
      <w:rPr>
        <w:rFonts w:ascii="Symbol" w:hAnsi="Symbol" w:hint="default"/>
      </w:rPr>
    </w:lvl>
    <w:lvl w:ilvl="7" w:tplc="0882B262">
      <w:start w:val="1"/>
      <w:numFmt w:val="bullet"/>
      <w:lvlText w:val="o"/>
      <w:lvlJc w:val="left"/>
      <w:pPr>
        <w:ind w:left="5760" w:hanging="360"/>
      </w:pPr>
      <w:rPr>
        <w:rFonts w:ascii="Courier New" w:hAnsi="Courier New" w:hint="default"/>
      </w:rPr>
    </w:lvl>
    <w:lvl w:ilvl="8" w:tplc="CD98C90E">
      <w:start w:val="1"/>
      <w:numFmt w:val="bullet"/>
      <w:lvlText w:val=""/>
      <w:lvlJc w:val="left"/>
      <w:pPr>
        <w:ind w:left="6480" w:hanging="360"/>
      </w:pPr>
      <w:rPr>
        <w:rFonts w:ascii="Wingdings" w:hAnsi="Wingdings" w:hint="default"/>
      </w:rPr>
    </w:lvl>
  </w:abstractNum>
  <w:abstractNum w:abstractNumId="5" w15:restartNumberingAfterBreak="0">
    <w:nsid w:val="3B9A3E5B"/>
    <w:multiLevelType w:val="multilevel"/>
    <w:tmpl w:val="F9DAA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DE2596D"/>
    <w:multiLevelType w:val="hybridMultilevel"/>
    <w:tmpl w:val="0F4669FC"/>
    <w:lvl w:ilvl="0" w:tplc="E124BEA4">
      <w:start w:val="37"/>
      <w:numFmt w:val="decimal"/>
      <w:lvlText w:val="%1"/>
      <w:lvlJc w:val="left"/>
      <w:pPr>
        <w:ind w:left="487" w:hanging="360"/>
      </w:pPr>
      <w:rPr>
        <w:rFonts w:hint="default"/>
      </w:rPr>
    </w:lvl>
    <w:lvl w:ilvl="1" w:tplc="240A0019" w:tentative="1">
      <w:start w:val="1"/>
      <w:numFmt w:val="lowerLetter"/>
      <w:lvlText w:val="%2."/>
      <w:lvlJc w:val="left"/>
      <w:pPr>
        <w:ind w:left="1207" w:hanging="360"/>
      </w:pPr>
    </w:lvl>
    <w:lvl w:ilvl="2" w:tplc="240A001B" w:tentative="1">
      <w:start w:val="1"/>
      <w:numFmt w:val="lowerRoman"/>
      <w:lvlText w:val="%3."/>
      <w:lvlJc w:val="right"/>
      <w:pPr>
        <w:ind w:left="1927" w:hanging="180"/>
      </w:pPr>
    </w:lvl>
    <w:lvl w:ilvl="3" w:tplc="240A000F" w:tentative="1">
      <w:start w:val="1"/>
      <w:numFmt w:val="decimal"/>
      <w:lvlText w:val="%4."/>
      <w:lvlJc w:val="left"/>
      <w:pPr>
        <w:ind w:left="2647" w:hanging="360"/>
      </w:pPr>
    </w:lvl>
    <w:lvl w:ilvl="4" w:tplc="240A0019" w:tentative="1">
      <w:start w:val="1"/>
      <w:numFmt w:val="lowerLetter"/>
      <w:lvlText w:val="%5."/>
      <w:lvlJc w:val="left"/>
      <w:pPr>
        <w:ind w:left="3367" w:hanging="360"/>
      </w:pPr>
    </w:lvl>
    <w:lvl w:ilvl="5" w:tplc="240A001B" w:tentative="1">
      <w:start w:val="1"/>
      <w:numFmt w:val="lowerRoman"/>
      <w:lvlText w:val="%6."/>
      <w:lvlJc w:val="right"/>
      <w:pPr>
        <w:ind w:left="4087" w:hanging="180"/>
      </w:pPr>
    </w:lvl>
    <w:lvl w:ilvl="6" w:tplc="240A000F" w:tentative="1">
      <w:start w:val="1"/>
      <w:numFmt w:val="decimal"/>
      <w:lvlText w:val="%7."/>
      <w:lvlJc w:val="left"/>
      <w:pPr>
        <w:ind w:left="4807" w:hanging="360"/>
      </w:pPr>
    </w:lvl>
    <w:lvl w:ilvl="7" w:tplc="240A0019" w:tentative="1">
      <w:start w:val="1"/>
      <w:numFmt w:val="lowerLetter"/>
      <w:lvlText w:val="%8."/>
      <w:lvlJc w:val="left"/>
      <w:pPr>
        <w:ind w:left="5527" w:hanging="360"/>
      </w:pPr>
    </w:lvl>
    <w:lvl w:ilvl="8" w:tplc="240A001B" w:tentative="1">
      <w:start w:val="1"/>
      <w:numFmt w:val="lowerRoman"/>
      <w:lvlText w:val="%9."/>
      <w:lvlJc w:val="right"/>
      <w:pPr>
        <w:ind w:left="6247" w:hanging="180"/>
      </w:pPr>
    </w:lvl>
  </w:abstractNum>
  <w:abstractNum w:abstractNumId="7" w15:restartNumberingAfterBreak="0">
    <w:nsid w:val="41452579"/>
    <w:multiLevelType w:val="multilevel"/>
    <w:tmpl w:val="87148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49644F1F"/>
    <w:multiLevelType w:val="multilevel"/>
    <w:tmpl w:val="1D6CF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ADD4D56"/>
    <w:multiLevelType w:val="multilevel"/>
    <w:tmpl w:val="525C16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DC2C185"/>
    <w:multiLevelType w:val="hybridMultilevel"/>
    <w:tmpl w:val="2CF059FA"/>
    <w:lvl w:ilvl="0" w:tplc="6294308E">
      <w:start w:val="1"/>
      <w:numFmt w:val="bullet"/>
      <w:lvlText w:val=""/>
      <w:lvlJc w:val="left"/>
      <w:pPr>
        <w:ind w:left="720" w:hanging="360"/>
      </w:pPr>
      <w:rPr>
        <w:rFonts w:ascii="Symbol" w:hAnsi="Symbol" w:hint="default"/>
      </w:rPr>
    </w:lvl>
    <w:lvl w:ilvl="1" w:tplc="FDAE9B72">
      <w:start w:val="1"/>
      <w:numFmt w:val="bullet"/>
      <w:lvlText w:val="o"/>
      <w:lvlJc w:val="left"/>
      <w:pPr>
        <w:ind w:left="1440" w:hanging="360"/>
      </w:pPr>
      <w:rPr>
        <w:rFonts w:ascii="Courier New" w:hAnsi="Courier New" w:hint="default"/>
      </w:rPr>
    </w:lvl>
    <w:lvl w:ilvl="2" w:tplc="CB421FE2">
      <w:start w:val="1"/>
      <w:numFmt w:val="bullet"/>
      <w:lvlText w:val=""/>
      <w:lvlJc w:val="left"/>
      <w:pPr>
        <w:ind w:left="2160" w:hanging="360"/>
      </w:pPr>
      <w:rPr>
        <w:rFonts w:ascii="Wingdings" w:hAnsi="Wingdings" w:hint="default"/>
      </w:rPr>
    </w:lvl>
    <w:lvl w:ilvl="3" w:tplc="80441642">
      <w:start w:val="1"/>
      <w:numFmt w:val="bullet"/>
      <w:lvlText w:val=""/>
      <w:lvlJc w:val="left"/>
      <w:pPr>
        <w:ind w:left="2880" w:hanging="360"/>
      </w:pPr>
      <w:rPr>
        <w:rFonts w:ascii="Symbol" w:hAnsi="Symbol" w:hint="default"/>
      </w:rPr>
    </w:lvl>
    <w:lvl w:ilvl="4" w:tplc="3BAC914C">
      <w:start w:val="1"/>
      <w:numFmt w:val="bullet"/>
      <w:lvlText w:val="o"/>
      <w:lvlJc w:val="left"/>
      <w:pPr>
        <w:ind w:left="3600" w:hanging="360"/>
      </w:pPr>
      <w:rPr>
        <w:rFonts w:ascii="Courier New" w:hAnsi="Courier New" w:hint="default"/>
      </w:rPr>
    </w:lvl>
    <w:lvl w:ilvl="5" w:tplc="7706B8D4">
      <w:start w:val="1"/>
      <w:numFmt w:val="bullet"/>
      <w:lvlText w:val=""/>
      <w:lvlJc w:val="left"/>
      <w:pPr>
        <w:ind w:left="4320" w:hanging="360"/>
      </w:pPr>
      <w:rPr>
        <w:rFonts w:ascii="Wingdings" w:hAnsi="Wingdings" w:hint="default"/>
      </w:rPr>
    </w:lvl>
    <w:lvl w:ilvl="6" w:tplc="28885C06">
      <w:start w:val="1"/>
      <w:numFmt w:val="bullet"/>
      <w:lvlText w:val=""/>
      <w:lvlJc w:val="left"/>
      <w:pPr>
        <w:ind w:left="5040" w:hanging="360"/>
      </w:pPr>
      <w:rPr>
        <w:rFonts w:ascii="Symbol" w:hAnsi="Symbol" w:hint="default"/>
      </w:rPr>
    </w:lvl>
    <w:lvl w:ilvl="7" w:tplc="D0C0DC3C">
      <w:start w:val="1"/>
      <w:numFmt w:val="bullet"/>
      <w:lvlText w:val="o"/>
      <w:lvlJc w:val="left"/>
      <w:pPr>
        <w:ind w:left="5760" w:hanging="360"/>
      </w:pPr>
      <w:rPr>
        <w:rFonts w:ascii="Courier New" w:hAnsi="Courier New" w:hint="default"/>
      </w:rPr>
    </w:lvl>
    <w:lvl w:ilvl="8" w:tplc="7DA48814">
      <w:start w:val="1"/>
      <w:numFmt w:val="bullet"/>
      <w:lvlText w:val=""/>
      <w:lvlJc w:val="left"/>
      <w:pPr>
        <w:ind w:left="6480" w:hanging="360"/>
      </w:pPr>
      <w:rPr>
        <w:rFonts w:ascii="Wingdings" w:hAnsi="Wingdings" w:hint="default"/>
      </w:rPr>
    </w:lvl>
  </w:abstractNum>
  <w:abstractNum w:abstractNumId="11" w15:restartNumberingAfterBreak="0">
    <w:nsid w:val="5A8B3E4C"/>
    <w:multiLevelType w:val="hybridMultilevel"/>
    <w:tmpl w:val="3E687F62"/>
    <w:lvl w:ilvl="0" w:tplc="240A001B">
      <w:start w:val="1"/>
      <w:numFmt w:val="lowerRoman"/>
      <w:lvlText w:val="%1."/>
      <w:lvlJc w:val="right"/>
      <w:pPr>
        <w:ind w:left="1413" w:hanging="360"/>
      </w:pPr>
    </w:lvl>
    <w:lvl w:ilvl="1" w:tplc="240A0019">
      <w:start w:val="1"/>
      <w:numFmt w:val="lowerLetter"/>
      <w:lvlText w:val="%2."/>
      <w:lvlJc w:val="left"/>
      <w:pPr>
        <w:ind w:left="2133" w:hanging="360"/>
      </w:pPr>
    </w:lvl>
    <w:lvl w:ilvl="2" w:tplc="240A001B" w:tentative="1">
      <w:start w:val="1"/>
      <w:numFmt w:val="lowerRoman"/>
      <w:lvlText w:val="%3."/>
      <w:lvlJc w:val="right"/>
      <w:pPr>
        <w:ind w:left="2853" w:hanging="180"/>
      </w:pPr>
    </w:lvl>
    <w:lvl w:ilvl="3" w:tplc="240A000F" w:tentative="1">
      <w:start w:val="1"/>
      <w:numFmt w:val="decimal"/>
      <w:lvlText w:val="%4."/>
      <w:lvlJc w:val="left"/>
      <w:pPr>
        <w:ind w:left="3573" w:hanging="360"/>
      </w:pPr>
    </w:lvl>
    <w:lvl w:ilvl="4" w:tplc="240A0019" w:tentative="1">
      <w:start w:val="1"/>
      <w:numFmt w:val="lowerLetter"/>
      <w:lvlText w:val="%5."/>
      <w:lvlJc w:val="left"/>
      <w:pPr>
        <w:ind w:left="4293" w:hanging="360"/>
      </w:pPr>
    </w:lvl>
    <w:lvl w:ilvl="5" w:tplc="240A001B" w:tentative="1">
      <w:start w:val="1"/>
      <w:numFmt w:val="lowerRoman"/>
      <w:lvlText w:val="%6."/>
      <w:lvlJc w:val="right"/>
      <w:pPr>
        <w:ind w:left="5013" w:hanging="180"/>
      </w:pPr>
    </w:lvl>
    <w:lvl w:ilvl="6" w:tplc="240A000F" w:tentative="1">
      <w:start w:val="1"/>
      <w:numFmt w:val="decimal"/>
      <w:lvlText w:val="%7."/>
      <w:lvlJc w:val="left"/>
      <w:pPr>
        <w:ind w:left="5733" w:hanging="360"/>
      </w:pPr>
    </w:lvl>
    <w:lvl w:ilvl="7" w:tplc="240A0019" w:tentative="1">
      <w:start w:val="1"/>
      <w:numFmt w:val="lowerLetter"/>
      <w:lvlText w:val="%8."/>
      <w:lvlJc w:val="left"/>
      <w:pPr>
        <w:ind w:left="6453" w:hanging="360"/>
      </w:pPr>
    </w:lvl>
    <w:lvl w:ilvl="8" w:tplc="240A001B" w:tentative="1">
      <w:start w:val="1"/>
      <w:numFmt w:val="lowerRoman"/>
      <w:lvlText w:val="%9."/>
      <w:lvlJc w:val="right"/>
      <w:pPr>
        <w:ind w:left="7173" w:hanging="180"/>
      </w:pPr>
    </w:lvl>
  </w:abstractNum>
  <w:abstractNum w:abstractNumId="12" w15:restartNumberingAfterBreak="0">
    <w:nsid w:val="6276E575"/>
    <w:multiLevelType w:val="hybridMultilevel"/>
    <w:tmpl w:val="79A0637A"/>
    <w:lvl w:ilvl="0" w:tplc="C3A886A2">
      <w:start w:val="1"/>
      <w:numFmt w:val="decimal"/>
      <w:lvlText w:val="%1."/>
      <w:lvlJc w:val="left"/>
      <w:pPr>
        <w:ind w:left="720" w:hanging="360"/>
      </w:pPr>
      <w:rPr>
        <w:rFonts w:ascii="Verdana" w:hAnsi="Verdana" w:hint="default"/>
      </w:rPr>
    </w:lvl>
    <w:lvl w:ilvl="1" w:tplc="666489A8">
      <w:start w:val="1"/>
      <w:numFmt w:val="lowerLetter"/>
      <w:lvlText w:val="%2."/>
      <w:lvlJc w:val="left"/>
      <w:pPr>
        <w:ind w:left="1440" w:hanging="360"/>
      </w:pPr>
    </w:lvl>
    <w:lvl w:ilvl="2" w:tplc="8F2C0758">
      <w:start w:val="1"/>
      <w:numFmt w:val="lowerRoman"/>
      <w:lvlText w:val="%3."/>
      <w:lvlJc w:val="right"/>
      <w:pPr>
        <w:ind w:left="2160" w:hanging="180"/>
      </w:pPr>
    </w:lvl>
    <w:lvl w:ilvl="3" w:tplc="0E3C59B2">
      <w:start w:val="1"/>
      <w:numFmt w:val="decimal"/>
      <w:lvlText w:val="%4."/>
      <w:lvlJc w:val="left"/>
      <w:pPr>
        <w:ind w:left="2880" w:hanging="360"/>
      </w:pPr>
    </w:lvl>
    <w:lvl w:ilvl="4" w:tplc="53EAB28A">
      <w:start w:val="1"/>
      <w:numFmt w:val="lowerLetter"/>
      <w:lvlText w:val="%5."/>
      <w:lvlJc w:val="left"/>
      <w:pPr>
        <w:ind w:left="3600" w:hanging="360"/>
      </w:pPr>
    </w:lvl>
    <w:lvl w:ilvl="5" w:tplc="F2E82F94">
      <w:start w:val="1"/>
      <w:numFmt w:val="lowerRoman"/>
      <w:lvlText w:val="%6."/>
      <w:lvlJc w:val="right"/>
      <w:pPr>
        <w:ind w:left="4320" w:hanging="180"/>
      </w:pPr>
    </w:lvl>
    <w:lvl w:ilvl="6" w:tplc="9CE22DBA">
      <w:start w:val="1"/>
      <w:numFmt w:val="decimal"/>
      <w:lvlText w:val="%7."/>
      <w:lvlJc w:val="left"/>
      <w:pPr>
        <w:ind w:left="5040" w:hanging="360"/>
      </w:pPr>
    </w:lvl>
    <w:lvl w:ilvl="7" w:tplc="B7FE29B6">
      <w:start w:val="1"/>
      <w:numFmt w:val="lowerLetter"/>
      <w:lvlText w:val="%8."/>
      <w:lvlJc w:val="left"/>
      <w:pPr>
        <w:ind w:left="5760" w:hanging="360"/>
      </w:pPr>
    </w:lvl>
    <w:lvl w:ilvl="8" w:tplc="B1BE4986">
      <w:start w:val="1"/>
      <w:numFmt w:val="lowerRoman"/>
      <w:lvlText w:val="%9."/>
      <w:lvlJc w:val="right"/>
      <w:pPr>
        <w:ind w:left="6480" w:hanging="180"/>
      </w:pPr>
    </w:lvl>
  </w:abstractNum>
  <w:abstractNum w:abstractNumId="13" w15:restartNumberingAfterBreak="0">
    <w:nsid w:val="6725946A"/>
    <w:multiLevelType w:val="multilevel"/>
    <w:tmpl w:val="B7B2966C"/>
    <w:lvl w:ilvl="0">
      <w:start w:val="1"/>
      <w:numFmt w:val="decimal"/>
      <w:lvlText w:val="%1."/>
      <w:lvlJc w:val="left"/>
      <w:pPr>
        <w:ind w:left="360" w:hanging="360"/>
      </w:pPr>
      <w:rPr>
        <w:b/>
        <w:bCs/>
      </w:r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6B404D63"/>
    <w:multiLevelType w:val="hybridMultilevel"/>
    <w:tmpl w:val="FBA8F57E"/>
    <w:lvl w:ilvl="0" w:tplc="FFFFFFFF">
      <w:start w:val="1"/>
      <w:numFmt w:val="lowerLetter"/>
      <w:lvlText w:val="%1)"/>
      <w:lvlJc w:val="left"/>
      <w:pPr>
        <w:ind w:left="-207" w:hanging="360"/>
      </w:pPr>
      <w:rPr>
        <w:rFonts w:hint="default"/>
      </w:rPr>
    </w:lvl>
    <w:lvl w:ilvl="1" w:tplc="FFFFFFFF" w:tentative="1">
      <w:start w:val="1"/>
      <w:numFmt w:val="lowerLetter"/>
      <w:lvlText w:val="%2."/>
      <w:lvlJc w:val="left"/>
      <w:pPr>
        <w:ind w:left="513" w:hanging="360"/>
      </w:pPr>
    </w:lvl>
    <w:lvl w:ilvl="2" w:tplc="FFFFFFFF" w:tentative="1">
      <w:start w:val="1"/>
      <w:numFmt w:val="lowerRoman"/>
      <w:lvlText w:val="%3."/>
      <w:lvlJc w:val="right"/>
      <w:pPr>
        <w:ind w:left="1233" w:hanging="180"/>
      </w:pPr>
    </w:lvl>
    <w:lvl w:ilvl="3" w:tplc="FFFFFFFF" w:tentative="1">
      <w:start w:val="1"/>
      <w:numFmt w:val="decimal"/>
      <w:lvlText w:val="%4."/>
      <w:lvlJc w:val="left"/>
      <w:pPr>
        <w:ind w:left="1953" w:hanging="360"/>
      </w:pPr>
    </w:lvl>
    <w:lvl w:ilvl="4" w:tplc="FFFFFFFF" w:tentative="1">
      <w:start w:val="1"/>
      <w:numFmt w:val="lowerLetter"/>
      <w:lvlText w:val="%5."/>
      <w:lvlJc w:val="left"/>
      <w:pPr>
        <w:ind w:left="2673" w:hanging="360"/>
      </w:pPr>
    </w:lvl>
    <w:lvl w:ilvl="5" w:tplc="FFFFFFFF" w:tentative="1">
      <w:start w:val="1"/>
      <w:numFmt w:val="lowerRoman"/>
      <w:lvlText w:val="%6."/>
      <w:lvlJc w:val="right"/>
      <w:pPr>
        <w:ind w:left="3393" w:hanging="180"/>
      </w:pPr>
    </w:lvl>
    <w:lvl w:ilvl="6" w:tplc="FFFFFFFF" w:tentative="1">
      <w:start w:val="1"/>
      <w:numFmt w:val="decimal"/>
      <w:lvlText w:val="%7."/>
      <w:lvlJc w:val="left"/>
      <w:pPr>
        <w:ind w:left="4113" w:hanging="360"/>
      </w:pPr>
    </w:lvl>
    <w:lvl w:ilvl="7" w:tplc="FFFFFFFF" w:tentative="1">
      <w:start w:val="1"/>
      <w:numFmt w:val="lowerLetter"/>
      <w:lvlText w:val="%8."/>
      <w:lvlJc w:val="left"/>
      <w:pPr>
        <w:ind w:left="4833" w:hanging="360"/>
      </w:pPr>
    </w:lvl>
    <w:lvl w:ilvl="8" w:tplc="FFFFFFFF" w:tentative="1">
      <w:start w:val="1"/>
      <w:numFmt w:val="lowerRoman"/>
      <w:lvlText w:val="%9."/>
      <w:lvlJc w:val="right"/>
      <w:pPr>
        <w:ind w:left="5553" w:hanging="180"/>
      </w:pPr>
    </w:lvl>
  </w:abstractNum>
  <w:abstractNum w:abstractNumId="15" w15:restartNumberingAfterBreak="0">
    <w:nsid w:val="70CE615F"/>
    <w:multiLevelType w:val="hybridMultilevel"/>
    <w:tmpl w:val="8ED40716"/>
    <w:lvl w:ilvl="0" w:tplc="240A000F">
      <w:start w:val="1"/>
      <w:numFmt w:val="decimal"/>
      <w:lvlText w:val="%1."/>
      <w:lvlJc w:val="left"/>
      <w:pPr>
        <w:ind w:left="153" w:hanging="360"/>
      </w:pPr>
    </w:lvl>
    <w:lvl w:ilvl="1" w:tplc="240A0019" w:tentative="1">
      <w:start w:val="1"/>
      <w:numFmt w:val="lowerLetter"/>
      <w:lvlText w:val="%2."/>
      <w:lvlJc w:val="left"/>
      <w:pPr>
        <w:ind w:left="873" w:hanging="360"/>
      </w:pPr>
    </w:lvl>
    <w:lvl w:ilvl="2" w:tplc="240A001B" w:tentative="1">
      <w:start w:val="1"/>
      <w:numFmt w:val="lowerRoman"/>
      <w:lvlText w:val="%3."/>
      <w:lvlJc w:val="right"/>
      <w:pPr>
        <w:ind w:left="1593" w:hanging="180"/>
      </w:pPr>
    </w:lvl>
    <w:lvl w:ilvl="3" w:tplc="240A000F" w:tentative="1">
      <w:start w:val="1"/>
      <w:numFmt w:val="decimal"/>
      <w:lvlText w:val="%4."/>
      <w:lvlJc w:val="left"/>
      <w:pPr>
        <w:ind w:left="2313" w:hanging="360"/>
      </w:pPr>
    </w:lvl>
    <w:lvl w:ilvl="4" w:tplc="240A0019" w:tentative="1">
      <w:start w:val="1"/>
      <w:numFmt w:val="lowerLetter"/>
      <w:lvlText w:val="%5."/>
      <w:lvlJc w:val="left"/>
      <w:pPr>
        <w:ind w:left="3033" w:hanging="360"/>
      </w:pPr>
    </w:lvl>
    <w:lvl w:ilvl="5" w:tplc="240A001B" w:tentative="1">
      <w:start w:val="1"/>
      <w:numFmt w:val="lowerRoman"/>
      <w:lvlText w:val="%6."/>
      <w:lvlJc w:val="right"/>
      <w:pPr>
        <w:ind w:left="3753" w:hanging="180"/>
      </w:pPr>
    </w:lvl>
    <w:lvl w:ilvl="6" w:tplc="240A000F" w:tentative="1">
      <w:start w:val="1"/>
      <w:numFmt w:val="decimal"/>
      <w:lvlText w:val="%7."/>
      <w:lvlJc w:val="left"/>
      <w:pPr>
        <w:ind w:left="4473" w:hanging="360"/>
      </w:pPr>
    </w:lvl>
    <w:lvl w:ilvl="7" w:tplc="240A0019" w:tentative="1">
      <w:start w:val="1"/>
      <w:numFmt w:val="lowerLetter"/>
      <w:lvlText w:val="%8."/>
      <w:lvlJc w:val="left"/>
      <w:pPr>
        <w:ind w:left="5193" w:hanging="360"/>
      </w:pPr>
    </w:lvl>
    <w:lvl w:ilvl="8" w:tplc="240A001B" w:tentative="1">
      <w:start w:val="1"/>
      <w:numFmt w:val="lowerRoman"/>
      <w:lvlText w:val="%9."/>
      <w:lvlJc w:val="right"/>
      <w:pPr>
        <w:ind w:left="5913" w:hanging="180"/>
      </w:pPr>
    </w:lvl>
  </w:abstractNum>
  <w:abstractNum w:abstractNumId="16" w15:restartNumberingAfterBreak="0">
    <w:nsid w:val="74635E14"/>
    <w:multiLevelType w:val="multilevel"/>
    <w:tmpl w:val="D4960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644647D"/>
    <w:multiLevelType w:val="multilevel"/>
    <w:tmpl w:val="9A02D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BFF2B87"/>
    <w:multiLevelType w:val="multilevel"/>
    <w:tmpl w:val="40EC2D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7F7B6783"/>
    <w:multiLevelType w:val="hybridMultilevel"/>
    <w:tmpl w:val="EC924E20"/>
    <w:lvl w:ilvl="0" w:tplc="FE5CB37A">
      <w:start w:val="1"/>
      <w:numFmt w:val="lowerLetter"/>
      <w:lvlText w:val="%1)"/>
      <w:lvlJc w:val="left"/>
      <w:pPr>
        <w:ind w:left="-207" w:hanging="360"/>
      </w:pPr>
      <w:rPr>
        <w:rFonts w:hint="default"/>
      </w:rPr>
    </w:lvl>
    <w:lvl w:ilvl="1" w:tplc="61069ED4">
      <w:start w:val="1"/>
      <w:numFmt w:val="decimal"/>
      <w:lvlText w:val="%2."/>
      <w:lvlJc w:val="left"/>
      <w:pPr>
        <w:ind w:left="513" w:hanging="360"/>
      </w:pPr>
      <w:rPr>
        <w:rFonts w:hint="default"/>
        <w:b/>
      </w:rPr>
    </w:lvl>
    <w:lvl w:ilvl="2" w:tplc="240A001B">
      <w:start w:val="1"/>
      <w:numFmt w:val="lowerRoman"/>
      <w:lvlText w:val="%3."/>
      <w:lvlJc w:val="right"/>
      <w:pPr>
        <w:ind w:left="1233" w:hanging="180"/>
      </w:pPr>
    </w:lvl>
    <w:lvl w:ilvl="3" w:tplc="240A000F">
      <w:start w:val="1"/>
      <w:numFmt w:val="decimal"/>
      <w:lvlText w:val="%4."/>
      <w:lvlJc w:val="left"/>
      <w:pPr>
        <w:ind w:left="1953" w:hanging="360"/>
      </w:pPr>
    </w:lvl>
    <w:lvl w:ilvl="4" w:tplc="240A0019">
      <w:start w:val="1"/>
      <w:numFmt w:val="lowerLetter"/>
      <w:lvlText w:val="%5."/>
      <w:lvlJc w:val="left"/>
      <w:pPr>
        <w:ind w:left="2673" w:hanging="360"/>
      </w:pPr>
    </w:lvl>
    <w:lvl w:ilvl="5" w:tplc="240A001B">
      <w:start w:val="1"/>
      <w:numFmt w:val="lowerRoman"/>
      <w:lvlText w:val="%6."/>
      <w:lvlJc w:val="right"/>
      <w:pPr>
        <w:ind w:left="3393" w:hanging="180"/>
      </w:pPr>
    </w:lvl>
    <w:lvl w:ilvl="6" w:tplc="240A000F">
      <w:start w:val="1"/>
      <w:numFmt w:val="decimal"/>
      <w:lvlText w:val="%7."/>
      <w:lvlJc w:val="left"/>
      <w:pPr>
        <w:ind w:left="4113" w:hanging="360"/>
      </w:pPr>
    </w:lvl>
    <w:lvl w:ilvl="7" w:tplc="240A0019">
      <w:start w:val="1"/>
      <w:numFmt w:val="lowerLetter"/>
      <w:lvlText w:val="%8."/>
      <w:lvlJc w:val="left"/>
      <w:pPr>
        <w:ind w:left="4833" w:hanging="360"/>
      </w:pPr>
    </w:lvl>
    <w:lvl w:ilvl="8" w:tplc="240A001B">
      <w:start w:val="1"/>
      <w:numFmt w:val="lowerRoman"/>
      <w:lvlText w:val="%9."/>
      <w:lvlJc w:val="right"/>
      <w:pPr>
        <w:ind w:left="5553" w:hanging="180"/>
      </w:pPr>
    </w:lvl>
  </w:abstractNum>
  <w:num w:numId="1" w16cid:durableId="1731806266">
    <w:abstractNumId w:val="10"/>
  </w:num>
  <w:num w:numId="2" w16cid:durableId="487672796">
    <w:abstractNumId w:val="12"/>
  </w:num>
  <w:num w:numId="3" w16cid:durableId="2015910545">
    <w:abstractNumId w:val="4"/>
  </w:num>
  <w:num w:numId="4" w16cid:durableId="1437558719">
    <w:abstractNumId w:val="13"/>
  </w:num>
  <w:num w:numId="5" w16cid:durableId="24641767">
    <w:abstractNumId w:val="2"/>
  </w:num>
  <w:num w:numId="6" w16cid:durableId="1714305335">
    <w:abstractNumId w:val="19"/>
  </w:num>
  <w:num w:numId="7" w16cid:durableId="1864514168">
    <w:abstractNumId w:val="14"/>
  </w:num>
  <w:num w:numId="8" w16cid:durableId="287198269">
    <w:abstractNumId w:val="9"/>
  </w:num>
  <w:num w:numId="9" w16cid:durableId="5134435">
    <w:abstractNumId w:val="0"/>
  </w:num>
  <w:num w:numId="10" w16cid:durableId="1563327627">
    <w:abstractNumId w:val="3"/>
  </w:num>
  <w:num w:numId="11" w16cid:durableId="1817868210">
    <w:abstractNumId w:val="18"/>
  </w:num>
  <w:num w:numId="12" w16cid:durableId="281307633">
    <w:abstractNumId w:val="7"/>
  </w:num>
  <w:num w:numId="13" w16cid:durableId="473258056">
    <w:abstractNumId w:val="16"/>
  </w:num>
  <w:num w:numId="14" w16cid:durableId="1496451832">
    <w:abstractNumId w:val="8"/>
  </w:num>
  <w:num w:numId="15" w16cid:durableId="250824114">
    <w:abstractNumId w:val="15"/>
  </w:num>
  <w:num w:numId="16" w16cid:durableId="743719516">
    <w:abstractNumId w:val="11"/>
  </w:num>
  <w:num w:numId="17" w16cid:durableId="533884299">
    <w:abstractNumId w:val="17"/>
  </w:num>
  <w:num w:numId="18" w16cid:durableId="428086098">
    <w:abstractNumId w:val="6"/>
  </w:num>
  <w:num w:numId="19" w16cid:durableId="592784921">
    <w:abstractNumId w:val="5"/>
  </w:num>
  <w:num w:numId="20" w16cid:durableId="1350066308">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s-MX" w:vendorID="64" w:dllVersion="0" w:nlCheck="1" w:checkStyle="0"/>
  <w:activeWritingStyle w:appName="MSWord" w:lang="es-CO"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fr-FR" w:vendorID="64" w:dllVersion="0" w:nlCheck="1" w:checkStyle="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1EC8"/>
    <w:rsid w:val="00004776"/>
    <w:rsid w:val="00004A1D"/>
    <w:rsid w:val="00005502"/>
    <w:rsid w:val="00005C67"/>
    <w:rsid w:val="000066DD"/>
    <w:rsid w:val="00010315"/>
    <w:rsid w:val="0001068D"/>
    <w:rsid w:val="00010729"/>
    <w:rsid w:val="000126C6"/>
    <w:rsid w:val="00012769"/>
    <w:rsid w:val="0001500F"/>
    <w:rsid w:val="00021035"/>
    <w:rsid w:val="0002245F"/>
    <w:rsid w:val="000225B8"/>
    <w:rsid w:val="000232C9"/>
    <w:rsid w:val="0002350C"/>
    <w:rsid w:val="00024F91"/>
    <w:rsid w:val="00032F3D"/>
    <w:rsid w:val="00036EAF"/>
    <w:rsid w:val="000420AB"/>
    <w:rsid w:val="0004253E"/>
    <w:rsid w:val="00043BEC"/>
    <w:rsid w:val="00044AE4"/>
    <w:rsid w:val="00045916"/>
    <w:rsid w:val="00046DEE"/>
    <w:rsid w:val="00047B0B"/>
    <w:rsid w:val="000525DE"/>
    <w:rsid w:val="00053FAE"/>
    <w:rsid w:val="0005534F"/>
    <w:rsid w:val="00056A9A"/>
    <w:rsid w:val="0006137F"/>
    <w:rsid w:val="000645E6"/>
    <w:rsid w:val="000655D6"/>
    <w:rsid w:val="0006795D"/>
    <w:rsid w:val="000709CC"/>
    <w:rsid w:val="00071E22"/>
    <w:rsid w:val="0007228C"/>
    <w:rsid w:val="000739BD"/>
    <w:rsid w:val="00075437"/>
    <w:rsid w:val="00083312"/>
    <w:rsid w:val="00083D48"/>
    <w:rsid w:val="00085E34"/>
    <w:rsid w:val="00089251"/>
    <w:rsid w:val="00091172"/>
    <w:rsid w:val="0009138B"/>
    <w:rsid w:val="000917AE"/>
    <w:rsid w:val="000943C0"/>
    <w:rsid w:val="000A34D6"/>
    <w:rsid w:val="000A52B3"/>
    <w:rsid w:val="000A7405"/>
    <w:rsid w:val="000B0A3D"/>
    <w:rsid w:val="000B1786"/>
    <w:rsid w:val="000B475E"/>
    <w:rsid w:val="000C120A"/>
    <w:rsid w:val="000C200F"/>
    <w:rsid w:val="000C2EF9"/>
    <w:rsid w:val="000C44A9"/>
    <w:rsid w:val="000D03A5"/>
    <w:rsid w:val="000D03CB"/>
    <w:rsid w:val="000D04C2"/>
    <w:rsid w:val="000D2AF9"/>
    <w:rsid w:val="000D6605"/>
    <w:rsid w:val="000E1177"/>
    <w:rsid w:val="000E1C0C"/>
    <w:rsid w:val="000E6875"/>
    <w:rsid w:val="000E7168"/>
    <w:rsid w:val="000E7F07"/>
    <w:rsid w:val="000F0962"/>
    <w:rsid w:val="000F3A81"/>
    <w:rsid w:val="000F3E9B"/>
    <w:rsid w:val="000F7EFA"/>
    <w:rsid w:val="00101280"/>
    <w:rsid w:val="00102E03"/>
    <w:rsid w:val="00103F61"/>
    <w:rsid w:val="00110C4C"/>
    <w:rsid w:val="001143DC"/>
    <w:rsid w:val="00114473"/>
    <w:rsid w:val="00114C1E"/>
    <w:rsid w:val="001167A6"/>
    <w:rsid w:val="001207FF"/>
    <w:rsid w:val="00120DB8"/>
    <w:rsid w:val="00121518"/>
    <w:rsid w:val="00121D8B"/>
    <w:rsid w:val="001245B4"/>
    <w:rsid w:val="00126498"/>
    <w:rsid w:val="00127F88"/>
    <w:rsid w:val="001340D0"/>
    <w:rsid w:val="00136399"/>
    <w:rsid w:val="00142CE7"/>
    <w:rsid w:val="00145FF4"/>
    <w:rsid w:val="001476B3"/>
    <w:rsid w:val="00151507"/>
    <w:rsid w:val="001552A7"/>
    <w:rsid w:val="0015626C"/>
    <w:rsid w:val="00156597"/>
    <w:rsid w:val="001566C1"/>
    <w:rsid w:val="00157E1B"/>
    <w:rsid w:val="00157E77"/>
    <w:rsid w:val="001611BD"/>
    <w:rsid w:val="00161CEA"/>
    <w:rsid w:val="00161D89"/>
    <w:rsid w:val="00164B73"/>
    <w:rsid w:val="00164FB1"/>
    <w:rsid w:val="001666BA"/>
    <w:rsid w:val="00166A0D"/>
    <w:rsid w:val="001734C7"/>
    <w:rsid w:val="001754E2"/>
    <w:rsid w:val="00175B27"/>
    <w:rsid w:val="001770C5"/>
    <w:rsid w:val="0017775A"/>
    <w:rsid w:val="00177E24"/>
    <w:rsid w:val="00177FE2"/>
    <w:rsid w:val="001827D2"/>
    <w:rsid w:val="00184F56"/>
    <w:rsid w:val="00185113"/>
    <w:rsid w:val="001867BE"/>
    <w:rsid w:val="00195BF2"/>
    <w:rsid w:val="001977E0"/>
    <w:rsid w:val="001A2C7F"/>
    <w:rsid w:val="001A3A0E"/>
    <w:rsid w:val="001A3FFD"/>
    <w:rsid w:val="001A5205"/>
    <w:rsid w:val="001A58FD"/>
    <w:rsid w:val="001B2165"/>
    <w:rsid w:val="001B3F74"/>
    <w:rsid w:val="001C2B30"/>
    <w:rsid w:val="001D4C00"/>
    <w:rsid w:val="001D5519"/>
    <w:rsid w:val="001D7015"/>
    <w:rsid w:val="001E1294"/>
    <w:rsid w:val="001E25C0"/>
    <w:rsid w:val="001E3D78"/>
    <w:rsid w:val="001E4327"/>
    <w:rsid w:val="001E4805"/>
    <w:rsid w:val="001E58B3"/>
    <w:rsid w:val="001E5B5E"/>
    <w:rsid w:val="001F0094"/>
    <w:rsid w:val="001F1CC8"/>
    <w:rsid w:val="001F4050"/>
    <w:rsid w:val="001F44C8"/>
    <w:rsid w:val="001F517B"/>
    <w:rsid w:val="001F5B40"/>
    <w:rsid w:val="0020272A"/>
    <w:rsid w:val="0020289C"/>
    <w:rsid w:val="00203521"/>
    <w:rsid w:val="00203632"/>
    <w:rsid w:val="002037EE"/>
    <w:rsid w:val="002105DD"/>
    <w:rsid w:val="00211F23"/>
    <w:rsid w:val="00213D12"/>
    <w:rsid w:val="002154E7"/>
    <w:rsid w:val="00216C42"/>
    <w:rsid w:val="00217B1F"/>
    <w:rsid w:val="00222816"/>
    <w:rsid w:val="00224C8F"/>
    <w:rsid w:val="00225EB9"/>
    <w:rsid w:val="00226284"/>
    <w:rsid w:val="002427C6"/>
    <w:rsid w:val="00246908"/>
    <w:rsid w:val="00247580"/>
    <w:rsid w:val="00250E23"/>
    <w:rsid w:val="0025128C"/>
    <w:rsid w:val="00252098"/>
    <w:rsid w:val="00254D26"/>
    <w:rsid w:val="00260802"/>
    <w:rsid w:val="002627DE"/>
    <w:rsid w:val="0026685A"/>
    <w:rsid w:val="0027203A"/>
    <w:rsid w:val="00273724"/>
    <w:rsid w:val="00275CF6"/>
    <w:rsid w:val="00276181"/>
    <w:rsid w:val="0028022F"/>
    <w:rsid w:val="002823DD"/>
    <w:rsid w:val="00283C48"/>
    <w:rsid w:val="00285200"/>
    <w:rsid w:val="00286FFB"/>
    <w:rsid w:val="00293DD4"/>
    <w:rsid w:val="002974CA"/>
    <w:rsid w:val="00297E44"/>
    <w:rsid w:val="002A3107"/>
    <w:rsid w:val="002A43BC"/>
    <w:rsid w:val="002A6336"/>
    <w:rsid w:val="002A7FD4"/>
    <w:rsid w:val="002B1964"/>
    <w:rsid w:val="002B5937"/>
    <w:rsid w:val="002B7672"/>
    <w:rsid w:val="002C0801"/>
    <w:rsid w:val="002C24F2"/>
    <w:rsid w:val="002C302D"/>
    <w:rsid w:val="002C3129"/>
    <w:rsid w:val="002C3B2A"/>
    <w:rsid w:val="002C4970"/>
    <w:rsid w:val="002C7A39"/>
    <w:rsid w:val="002D0E43"/>
    <w:rsid w:val="002D5F18"/>
    <w:rsid w:val="002E1229"/>
    <w:rsid w:val="002E3261"/>
    <w:rsid w:val="002F07A8"/>
    <w:rsid w:val="002F4C5A"/>
    <w:rsid w:val="002F5015"/>
    <w:rsid w:val="002F6CB4"/>
    <w:rsid w:val="002F7514"/>
    <w:rsid w:val="003001C5"/>
    <w:rsid w:val="0030094C"/>
    <w:rsid w:val="0030461D"/>
    <w:rsid w:val="00305E99"/>
    <w:rsid w:val="0030674E"/>
    <w:rsid w:val="00310845"/>
    <w:rsid w:val="003139E7"/>
    <w:rsid w:val="00316545"/>
    <w:rsid w:val="0031EF56"/>
    <w:rsid w:val="00320AFC"/>
    <w:rsid w:val="0032141B"/>
    <w:rsid w:val="0032243E"/>
    <w:rsid w:val="00325651"/>
    <w:rsid w:val="00326A6E"/>
    <w:rsid w:val="003275D7"/>
    <w:rsid w:val="0032B3B5"/>
    <w:rsid w:val="0033331E"/>
    <w:rsid w:val="003361F4"/>
    <w:rsid w:val="0034244E"/>
    <w:rsid w:val="003428A6"/>
    <w:rsid w:val="003453B1"/>
    <w:rsid w:val="00346F5D"/>
    <w:rsid w:val="00350AC2"/>
    <w:rsid w:val="00361399"/>
    <w:rsid w:val="00363181"/>
    <w:rsid w:val="0036360F"/>
    <w:rsid w:val="00366230"/>
    <w:rsid w:val="00367A09"/>
    <w:rsid w:val="00370BE5"/>
    <w:rsid w:val="0037372A"/>
    <w:rsid w:val="0037481D"/>
    <w:rsid w:val="00375E2A"/>
    <w:rsid w:val="0037705C"/>
    <w:rsid w:val="00381C26"/>
    <w:rsid w:val="00384820"/>
    <w:rsid w:val="00385DA9"/>
    <w:rsid w:val="003866FE"/>
    <w:rsid w:val="00387CCF"/>
    <w:rsid w:val="00390303"/>
    <w:rsid w:val="003904AC"/>
    <w:rsid w:val="00392182"/>
    <w:rsid w:val="00393F54"/>
    <w:rsid w:val="00394BE7"/>
    <w:rsid w:val="00396340"/>
    <w:rsid w:val="00396FE0"/>
    <w:rsid w:val="00397449"/>
    <w:rsid w:val="003A25C8"/>
    <w:rsid w:val="003A6829"/>
    <w:rsid w:val="003A7FFB"/>
    <w:rsid w:val="003B005B"/>
    <w:rsid w:val="003B01D1"/>
    <w:rsid w:val="003B5665"/>
    <w:rsid w:val="003B6B53"/>
    <w:rsid w:val="003B79CD"/>
    <w:rsid w:val="003C1C27"/>
    <w:rsid w:val="003C3134"/>
    <w:rsid w:val="003C3315"/>
    <w:rsid w:val="003C5064"/>
    <w:rsid w:val="003C5B40"/>
    <w:rsid w:val="003C688C"/>
    <w:rsid w:val="003D08B2"/>
    <w:rsid w:val="003D21FA"/>
    <w:rsid w:val="003D43A0"/>
    <w:rsid w:val="003E03AD"/>
    <w:rsid w:val="003E27BC"/>
    <w:rsid w:val="003E521B"/>
    <w:rsid w:val="003E59BA"/>
    <w:rsid w:val="003E5BC4"/>
    <w:rsid w:val="003E6901"/>
    <w:rsid w:val="003E7E2B"/>
    <w:rsid w:val="003F2233"/>
    <w:rsid w:val="003F37F8"/>
    <w:rsid w:val="003F582A"/>
    <w:rsid w:val="003F65CB"/>
    <w:rsid w:val="00400C05"/>
    <w:rsid w:val="00401906"/>
    <w:rsid w:val="00403CB8"/>
    <w:rsid w:val="004053D7"/>
    <w:rsid w:val="00410032"/>
    <w:rsid w:val="00411431"/>
    <w:rsid w:val="00416497"/>
    <w:rsid w:val="00420DDD"/>
    <w:rsid w:val="004249B7"/>
    <w:rsid w:val="00424B7B"/>
    <w:rsid w:val="004255D6"/>
    <w:rsid w:val="00427EE8"/>
    <w:rsid w:val="004301F5"/>
    <w:rsid w:val="00430777"/>
    <w:rsid w:val="00431BAF"/>
    <w:rsid w:val="00435739"/>
    <w:rsid w:val="0043593B"/>
    <w:rsid w:val="00441A5D"/>
    <w:rsid w:val="00442AD9"/>
    <w:rsid w:val="00446E12"/>
    <w:rsid w:val="004504B4"/>
    <w:rsid w:val="00450833"/>
    <w:rsid w:val="0045141A"/>
    <w:rsid w:val="0045371A"/>
    <w:rsid w:val="00457565"/>
    <w:rsid w:val="00461A58"/>
    <w:rsid w:val="004639B6"/>
    <w:rsid w:val="00464B28"/>
    <w:rsid w:val="00474AEF"/>
    <w:rsid w:val="00474C22"/>
    <w:rsid w:val="00476012"/>
    <w:rsid w:val="004761CB"/>
    <w:rsid w:val="00477319"/>
    <w:rsid w:val="00484877"/>
    <w:rsid w:val="00486C96"/>
    <w:rsid w:val="0049094A"/>
    <w:rsid w:val="00491947"/>
    <w:rsid w:val="00491B89"/>
    <w:rsid w:val="004928A3"/>
    <w:rsid w:val="0049324D"/>
    <w:rsid w:val="00494E67"/>
    <w:rsid w:val="0049596B"/>
    <w:rsid w:val="00495C09"/>
    <w:rsid w:val="004A3986"/>
    <w:rsid w:val="004A3A60"/>
    <w:rsid w:val="004A4107"/>
    <w:rsid w:val="004A5D63"/>
    <w:rsid w:val="004A6800"/>
    <w:rsid w:val="004A7378"/>
    <w:rsid w:val="004A763A"/>
    <w:rsid w:val="004B2485"/>
    <w:rsid w:val="004B36AA"/>
    <w:rsid w:val="004B3B4B"/>
    <w:rsid w:val="004C1A17"/>
    <w:rsid w:val="004C1CEE"/>
    <w:rsid w:val="004C2F88"/>
    <w:rsid w:val="004D2CDD"/>
    <w:rsid w:val="004D4757"/>
    <w:rsid w:val="004D5959"/>
    <w:rsid w:val="004D7FC4"/>
    <w:rsid w:val="004E067A"/>
    <w:rsid w:val="004E62D2"/>
    <w:rsid w:val="004E6549"/>
    <w:rsid w:val="004E6E47"/>
    <w:rsid w:val="004F06E4"/>
    <w:rsid w:val="004F34C2"/>
    <w:rsid w:val="004F7D7C"/>
    <w:rsid w:val="005079B0"/>
    <w:rsid w:val="00510F0A"/>
    <w:rsid w:val="00510FB2"/>
    <w:rsid w:val="00513805"/>
    <w:rsid w:val="0051521E"/>
    <w:rsid w:val="00517C98"/>
    <w:rsid w:val="00521341"/>
    <w:rsid w:val="00524F14"/>
    <w:rsid w:val="005252CB"/>
    <w:rsid w:val="00525DF2"/>
    <w:rsid w:val="005338A1"/>
    <w:rsid w:val="00533BD5"/>
    <w:rsid w:val="00534A3B"/>
    <w:rsid w:val="0053516F"/>
    <w:rsid w:val="00540B44"/>
    <w:rsid w:val="00541C05"/>
    <w:rsid w:val="005455BB"/>
    <w:rsid w:val="005464B5"/>
    <w:rsid w:val="0055074B"/>
    <w:rsid w:val="00550B74"/>
    <w:rsid w:val="00550FA3"/>
    <w:rsid w:val="0055396F"/>
    <w:rsid w:val="0055525C"/>
    <w:rsid w:val="0055616F"/>
    <w:rsid w:val="00556CEB"/>
    <w:rsid w:val="00560FD3"/>
    <w:rsid w:val="00562B55"/>
    <w:rsid w:val="0057067F"/>
    <w:rsid w:val="00570681"/>
    <w:rsid w:val="00571239"/>
    <w:rsid w:val="005729B6"/>
    <w:rsid w:val="00573E81"/>
    <w:rsid w:val="00577B49"/>
    <w:rsid w:val="0058181C"/>
    <w:rsid w:val="005831AC"/>
    <w:rsid w:val="00591D8B"/>
    <w:rsid w:val="00592615"/>
    <w:rsid w:val="005952CD"/>
    <w:rsid w:val="005955AA"/>
    <w:rsid w:val="00596118"/>
    <w:rsid w:val="005A0A07"/>
    <w:rsid w:val="005A0A1C"/>
    <w:rsid w:val="005A2530"/>
    <w:rsid w:val="005A5F58"/>
    <w:rsid w:val="005C0209"/>
    <w:rsid w:val="005C071F"/>
    <w:rsid w:val="005C100B"/>
    <w:rsid w:val="005C2AAC"/>
    <w:rsid w:val="005C416C"/>
    <w:rsid w:val="005C4EF4"/>
    <w:rsid w:val="005C5AA8"/>
    <w:rsid w:val="005C62AA"/>
    <w:rsid w:val="005D2A97"/>
    <w:rsid w:val="005D3776"/>
    <w:rsid w:val="005D7571"/>
    <w:rsid w:val="005E1760"/>
    <w:rsid w:val="005E21EF"/>
    <w:rsid w:val="005F0BF4"/>
    <w:rsid w:val="005F294C"/>
    <w:rsid w:val="005F4BD0"/>
    <w:rsid w:val="005F4CF0"/>
    <w:rsid w:val="005F6FE6"/>
    <w:rsid w:val="0060085E"/>
    <w:rsid w:val="006013C6"/>
    <w:rsid w:val="00607888"/>
    <w:rsid w:val="00611395"/>
    <w:rsid w:val="006146D5"/>
    <w:rsid w:val="006153CD"/>
    <w:rsid w:val="0061577A"/>
    <w:rsid w:val="00620824"/>
    <w:rsid w:val="006272CF"/>
    <w:rsid w:val="006311B0"/>
    <w:rsid w:val="00631E12"/>
    <w:rsid w:val="00633DD0"/>
    <w:rsid w:val="00647192"/>
    <w:rsid w:val="00647A5A"/>
    <w:rsid w:val="0065059E"/>
    <w:rsid w:val="006507E5"/>
    <w:rsid w:val="0065572C"/>
    <w:rsid w:val="00655842"/>
    <w:rsid w:val="006562C8"/>
    <w:rsid w:val="00657C8A"/>
    <w:rsid w:val="0066454F"/>
    <w:rsid w:val="00664BA6"/>
    <w:rsid w:val="00665AFC"/>
    <w:rsid w:val="00667086"/>
    <w:rsid w:val="00670374"/>
    <w:rsid w:val="006737A3"/>
    <w:rsid w:val="00673E66"/>
    <w:rsid w:val="00675787"/>
    <w:rsid w:val="00680100"/>
    <w:rsid w:val="00681508"/>
    <w:rsid w:val="00682732"/>
    <w:rsid w:val="00682BE7"/>
    <w:rsid w:val="006834ED"/>
    <w:rsid w:val="006839F4"/>
    <w:rsid w:val="00685200"/>
    <w:rsid w:val="0069043E"/>
    <w:rsid w:val="0069367D"/>
    <w:rsid w:val="0069456D"/>
    <w:rsid w:val="006A4612"/>
    <w:rsid w:val="006A4871"/>
    <w:rsid w:val="006A6A36"/>
    <w:rsid w:val="006A6A9A"/>
    <w:rsid w:val="006A6E7B"/>
    <w:rsid w:val="006B132E"/>
    <w:rsid w:val="006B32D1"/>
    <w:rsid w:val="006B36E7"/>
    <w:rsid w:val="006B6284"/>
    <w:rsid w:val="006C1B43"/>
    <w:rsid w:val="006C3C87"/>
    <w:rsid w:val="006C4DD0"/>
    <w:rsid w:val="006C79C4"/>
    <w:rsid w:val="006D1E47"/>
    <w:rsid w:val="006E1F3F"/>
    <w:rsid w:val="006E75E3"/>
    <w:rsid w:val="006F041C"/>
    <w:rsid w:val="006F265F"/>
    <w:rsid w:val="006F40F3"/>
    <w:rsid w:val="006F637A"/>
    <w:rsid w:val="00702EE1"/>
    <w:rsid w:val="00710A8F"/>
    <w:rsid w:val="00713F89"/>
    <w:rsid w:val="00713F95"/>
    <w:rsid w:val="00714478"/>
    <w:rsid w:val="00716718"/>
    <w:rsid w:val="00720055"/>
    <w:rsid w:val="00721A06"/>
    <w:rsid w:val="0072370C"/>
    <w:rsid w:val="00724017"/>
    <w:rsid w:val="0072540B"/>
    <w:rsid w:val="007269D6"/>
    <w:rsid w:val="00727EEE"/>
    <w:rsid w:val="007314A6"/>
    <w:rsid w:val="00735524"/>
    <w:rsid w:val="007362EA"/>
    <w:rsid w:val="00737896"/>
    <w:rsid w:val="00742E80"/>
    <w:rsid w:val="0074300C"/>
    <w:rsid w:val="00743B2B"/>
    <w:rsid w:val="00744D82"/>
    <w:rsid w:val="00746297"/>
    <w:rsid w:val="00746D46"/>
    <w:rsid w:val="00755CC9"/>
    <w:rsid w:val="00765810"/>
    <w:rsid w:val="00772BAC"/>
    <w:rsid w:val="007731C4"/>
    <w:rsid w:val="00773D54"/>
    <w:rsid w:val="00774EBF"/>
    <w:rsid w:val="00774FB6"/>
    <w:rsid w:val="007802E8"/>
    <w:rsid w:val="007849F4"/>
    <w:rsid w:val="00784D9C"/>
    <w:rsid w:val="0078723C"/>
    <w:rsid w:val="007A07A6"/>
    <w:rsid w:val="007A3814"/>
    <w:rsid w:val="007A6EB3"/>
    <w:rsid w:val="007A7678"/>
    <w:rsid w:val="007B012F"/>
    <w:rsid w:val="007B17BC"/>
    <w:rsid w:val="007B1CA3"/>
    <w:rsid w:val="007B22AB"/>
    <w:rsid w:val="007B4DE2"/>
    <w:rsid w:val="007B6CC6"/>
    <w:rsid w:val="007B72C2"/>
    <w:rsid w:val="007C62FA"/>
    <w:rsid w:val="007C72BD"/>
    <w:rsid w:val="007C7767"/>
    <w:rsid w:val="007D11A3"/>
    <w:rsid w:val="007D15B8"/>
    <w:rsid w:val="007D178E"/>
    <w:rsid w:val="007D26F2"/>
    <w:rsid w:val="007D4CF9"/>
    <w:rsid w:val="007D516F"/>
    <w:rsid w:val="007E2B35"/>
    <w:rsid w:val="007E4747"/>
    <w:rsid w:val="007E7FBF"/>
    <w:rsid w:val="007F1DF9"/>
    <w:rsid w:val="007F26E6"/>
    <w:rsid w:val="007F4D1C"/>
    <w:rsid w:val="007F4DFF"/>
    <w:rsid w:val="007F5A8D"/>
    <w:rsid w:val="007F5DE9"/>
    <w:rsid w:val="00800E68"/>
    <w:rsid w:val="0080159E"/>
    <w:rsid w:val="00801BF2"/>
    <w:rsid w:val="00801EDE"/>
    <w:rsid w:val="00802C33"/>
    <w:rsid w:val="008044DC"/>
    <w:rsid w:val="00805724"/>
    <w:rsid w:val="00806B81"/>
    <w:rsid w:val="00806BAC"/>
    <w:rsid w:val="00811389"/>
    <w:rsid w:val="008114CA"/>
    <w:rsid w:val="00814A2B"/>
    <w:rsid w:val="0081AA3A"/>
    <w:rsid w:val="00823D8B"/>
    <w:rsid w:val="0082611D"/>
    <w:rsid w:val="008262CA"/>
    <w:rsid w:val="0082679F"/>
    <w:rsid w:val="00831209"/>
    <w:rsid w:val="008314D7"/>
    <w:rsid w:val="008318FE"/>
    <w:rsid w:val="00832A85"/>
    <w:rsid w:val="00845D38"/>
    <w:rsid w:val="00846E45"/>
    <w:rsid w:val="008531DF"/>
    <w:rsid w:val="008536B3"/>
    <w:rsid w:val="00857B5C"/>
    <w:rsid w:val="00861912"/>
    <w:rsid w:val="00861C1A"/>
    <w:rsid w:val="00863776"/>
    <w:rsid w:val="00864AA7"/>
    <w:rsid w:val="0087464D"/>
    <w:rsid w:val="00874C00"/>
    <w:rsid w:val="00880626"/>
    <w:rsid w:val="00880B5F"/>
    <w:rsid w:val="008909D5"/>
    <w:rsid w:val="00890BA5"/>
    <w:rsid w:val="0089195D"/>
    <w:rsid w:val="00892555"/>
    <w:rsid w:val="00892B81"/>
    <w:rsid w:val="008A0CD6"/>
    <w:rsid w:val="008A178B"/>
    <w:rsid w:val="008A3965"/>
    <w:rsid w:val="008A3E55"/>
    <w:rsid w:val="008B06B1"/>
    <w:rsid w:val="008B7109"/>
    <w:rsid w:val="008C00D3"/>
    <w:rsid w:val="008C05C6"/>
    <w:rsid w:val="008C0BA6"/>
    <w:rsid w:val="008C4720"/>
    <w:rsid w:val="008C4DFF"/>
    <w:rsid w:val="008C4F91"/>
    <w:rsid w:val="008C5551"/>
    <w:rsid w:val="008D3352"/>
    <w:rsid w:val="008D336B"/>
    <w:rsid w:val="008D5BF1"/>
    <w:rsid w:val="008D6BCF"/>
    <w:rsid w:val="008E18F0"/>
    <w:rsid w:val="008E2883"/>
    <w:rsid w:val="008E4628"/>
    <w:rsid w:val="008F5334"/>
    <w:rsid w:val="008F635F"/>
    <w:rsid w:val="008F6EF7"/>
    <w:rsid w:val="00900245"/>
    <w:rsid w:val="00902144"/>
    <w:rsid w:val="00902D4B"/>
    <w:rsid w:val="0090312B"/>
    <w:rsid w:val="00903D53"/>
    <w:rsid w:val="009052C0"/>
    <w:rsid w:val="0091100B"/>
    <w:rsid w:val="00913046"/>
    <w:rsid w:val="00915F3F"/>
    <w:rsid w:val="009162EF"/>
    <w:rsid w:val="009178D5"/>
    <w:rsid w:val="00917E2A"/>
    <w:rsid w:val="009203C0"/>
    <w:rsid w:val="009223AF"/>
    <w:rsid w:val="009233BC"/>
    <w:rsid w:val="009241BC"/>
    <w:rsid w:val="009252E1"/>
    <w:rsid w:val="0093171F"/>
    <w:rsid w:val="00932518"/>
    <w:rsid w:val="009343C1"/>
    <w:rsid w:val="00935357"/>
    <w:rsid w:val="00942CD6"/>
    <w:rsid w:val="00944C84"/>
    <w:rsid w:val="00946A56"/>
    <w:rsid w:val="00947C5B"/>
    <w:rsid w:val="00951C68"/>
    <w:rsid w:val="00954AFC"/>
    <w:rsid w:val="00957131"/>
    <w:rsid w:val="00961AB5"/>
    <w:rsid w:val="009623ED"/>
    <w:rsid w:val="009638EA"/>
    <w:rsid w:val="00964DEC"/>
    <w:rsid w:val="0096730F"/>
    <w:rsid w:val="0096CD53"/>
    <w:rsid w:val="009728B8"/>
    <w:rsid w:val="00972C4F"/>
    <w:rsid w:val="00972D9C"/>
    <w:rsid w:val="00973761"/>
    <w:rsid w:val="00974ED7"/>
    <w:rsid w:val="009752D9"/>
    <w:rsid w:val="009758C3"/>
    <w:rsid w:val="00976158"/>
    <w:rsid w:val="009816E7"/>
    <w:rsid w:val="00985F4E"/>
    <w:rsid w:val="00990B33"/>
    <w:rsid w:val="009927B7"/>
    <w:rsid w:val="00993EB4"/>
    <w:rsid w:val="00994897"/>
    <w:rsid w:val="009975CA"/>
    <w:rsid w:val="00997B4E"/>
    <w:rsid w:val="009A0D92"/>
    <w:rsid w:val="009A4F4B"/>
    <w:rsid w:val="009A7A36"/>
    <w:rsid w:val="009B0CFF"/>
    <w:rsid w:val="009B1219"/>
    <w:rsid w:val="009B1FF6"/>
    <w:rsid w:val="009B2E1A"/>
    <w:rsid w:val="009B4856"/>
    <w:rsid w:val="009B5E9F"/>
    <w:rsid w:val="009B7048"/>
    <w:rsid w:val="009B7113"/>
    <w:rsid w:val="009C042A"/>
    <w:rsid w:val="009C2C56"/>
    <w:rsid w:val="009C2C8C"/>
    <w:rsid w:val="009C5E43"/>
    <w:rsid w:val="009C6D66"/>
    <w:rsid w:val="009C7A1A"/>
    <w:rsid w:val="009D014D"/>
    <w:rsid w:val="009D045F"/>
    <w:rsid w:val="009D200B"/>
    <w:rsid w:val="009D258E"/>
    <w:rsid w:val="009D30B4"/>
    <w:rsid w:val="009D3559"/>
    <w:rsid w:val="009D6354"/>
    <w:rsid w:val="009E116B"/>
    <w:rsid w:val="009E19D4"/>
    <w:rsid w:val="009E3756"/>
    <w:rsid w:val="009E7CDD"/>
    <w:rsid w:val="009F0642"/>
    <w:rsid w:val="009F4076"/>
    <w:rsid w:val="009F465A"/>
    <w:rsid w:val="009F639E"/>
    <w:rsid w:val="00A0250D"/>
    <w:rsid w:val="00A04F9E"/>
    <w:rsid w:val="00A059F4"/>
    <w:rsid w:val="00A074C7"/>
    <w:rsid w:val="00A14DA3"/>
    <w:rsid w:val="00A15B89"/>
    <w:rsid w:val="00A22FD0"/>
    <w:rsid w:val="00A23D2F"/>
    <w:rsid w:val="00A25645"/>
    <w:rsid w:val="00A30044"/>
    <w:rsid w:val="00A3372F"/>
    <w:rsid w:val="00A3404E"/>
    <w:rsid w:val="00A36B38"/>
    <w:rsid w:val="00A40624"/>
    <w:rsid w:val="00A42ED0"/>
    <w:rsid w:val="00A4348A"/>
    <w:rsid w:val="00A43DC4"/>
    <w:rsid w:val="00A44AE9"/>
    <w:rsid w:val="00A44C60"/>
    <w:rsid w:val="00A455DD"/>
    <w:rsid w:val="00A45A16"/>
    <w:rsid w:val="00A47EF0"/>
    <w:rsid w:val="00A4DF27"/>
    <w:rsid w:val="00A51884"/>
    <w:rsid w:val="00A5325B"/>
    <w:rsid w:val="00A54C9A"/>
    <w:rsid w:val="00A608B8"/>
    <w:rsid w:val="00A60ED5"/>
    <w:rsid w:val="00A62566"/>
    <w:rsid w:val="00A662D5"/>
    <w:rsid w:val="00A66BDF"/>
    <w:rsid w:val="00A74604"/>
    <w:rsid w:val="00A74B4B"/>
    <w:rsid w:val="00A83FFC"/>
    <w:rsid w:val="00A942D5"/>
    <w:rsid w:val="00A96501"/>
    <w:rsid w:val="00A97835"/>
    <w:rsid w:val="00A97E37"/>
    <w:rsid w:val="00AA0989"/>
    <w:rsid w:val="00AA09F0"/>
    <w:rsid w:val="00AA327C"/>
    <w:rsid w:val="00AA7192"/>
    <w:rsid w:val="00AA77C5"/>
    <w:rsid w:val="00AB158F"/>
    <w:rsid w:val="00AB762E"/>
    <w:rsid w:val="00AC218A"/>
    <w:rsid w:val="00AC4291"/>
    <w:rsid w:val="00AC4795"/>
    <w:rsid w:val="00AC7A0A"/>
    <w:rsid w:val="00AC7C60"/>
    <w:rsid w:val="00AC7E01"/>
    <w:rsid w:val="00AD2C1F"/>
    <w:rsid w:val="00AD3879"/>
    <w:rsid w:val="00AD59F7"/>
    <w:rsid w:val="00AD6B97"/>
    <w:rsid w:val="00AD793F"/>
    <w:rsid w:val="00AE4964"/>
    <w:rsid w:val="00AE4EAC"/>
    <w:rsid w:val="00AE6B75"/>
    <w:rsid w:val="00AE7C98"/>
    <w:rsid w:val="00AF00AF"/>
    <w:rsid w:val="00AF01B6"/>
    <w:rsid w:val="00AF070C"/>
    <w:rsid w:val="00AF55CB"/>
    <w:rsid w:val="00AF5953"/>
    <w:rsid w:val="00AF6A06"/>
    <w:rsid w:val="00B02E05"/>
    <w:rsid w:val="00B030B5"/>
    <w:rsid w:val="00B047EC"/>
    <w:rsid w:val="00B0558B"/>
    <w:rsid w:val="00B0755B"/>
    <w:rsid w:val="00B1040E"/>
    <w:rsid w:val="00B108BD"/>
    <w:rsid w:val="00B123AA"/>
    <w:rsid w:val="00B16BF7"/>
    <w:rsid w:val="00B207BD"/>
    <w:rsid w:val="00B21C87"/>
    <w:rsid w:val="00B24015"/>
    <w:rsid w:val="00B24F18"/>
    <w:rsid w:val="00B268DE"/>
    <w:rsid w:val="00B312B4"/>
    <w:rsid w:val="00B34EF4"/>
    <w:rsid w:val="00B34FAD"/>
    <w:rsid w:val="00B36180"/>
    <w:rsid w:val="00B3659F"/>
    <w:rsid w:val="00B42919"/>
    <w:rsid w:val="00B43454"/>
    <w:rsid w:val="00B539BE"/>
    <w:rsid w:val="00B54821"/>
    <w:rsid w:val="00B54A3C"/>
    <w:rsid w:val="00B563FC"/>
    <w:rsid w:val="00B57623"/>
    <w:rsid w:val="00B60C1A"/>
    <w:rsid w:val="00B60EFD"/>
    <w:rsid w:val="00B678A1"/>
    <w:rsid w:val="00B71178"/>
    <w:rsid w:val="00B71501"/>
    <w:rsid w:val="00B716E3"/>
    <w:rsid w:val="00B7490A"/>
    <w:rsid w:val="00B826A3"/>
    <w:rsid w:val="00B86251"/>
    <w:rsid w:val="00B91020"/>
    <w:rsid w:val="00B96B9D"/>
    <w:rsid w:val="00B97049"/>
    <w:rsid w:val="00B97637"/>
    <w:rsid w:val="00BA47AF"/>
    <w:rsid w:val="00BA6808"/>
    <w:rsid w:val="00BB0A65"/>
    <w:rsid w:val="00BB446A"/>
    <w:rsid w:val="00BB6F90"/>
    <w:rsid w:val="00BB786A"/>
    <w:rsid w:val="00BC060E"/>
    <w:rsid w:val="00BC076F"/>
    <w:rsid w:val="00BC3484"/>
    <w:rsid w:val="00BC4295"/>
    <w:rsid w:val="00BC4C79"/>
    <w:rsid w:val="00BC4D12"/>
    <w:rsid w:val="00BC6839"/>
    <w:rsid w:val="00BD414C"/>
    <w:rsid w:val="00BD5CBE"/>
    <w:rsid w:val="00BD7472"/>
    <w:rsid w:val="00BE1D4D"/>
    <w:rsid w:val="00BE3B2F"/>
    <w:rsid w:val="00BE64BF"/>
    <w:rsid w:val="00BF41CC"/>
    <w:rsid w:val="00BF7CCD"/>
    <w:rsid w:val="00C01257"/>
    <w:rsid w:val="00C012FD"/>
    <w:rsid w:val="00C01918"/>
    <w:rsid w:val="00C01A9D"/>
    <w:rsid w:val="00C02A67"/>
    <w:rsid w:val="00C041CB"/>
    <w:rsid w:val="00C1425E"/>
    <w:rsid w:val="00C17A45"/>
    <w:rsid w:val="00C206AB"/>
    <w:rsid w:val="00C21286"/>
    <w:rsid w:val="00C236D5"/>
    <w:rsid w:val="00C24922"/>
    <w:rsid w:val="00C30844"/>
    <w:rsid w:val="00C32620"/>
    <w:rsid w:val="00C328BD"/>
    <w:rsid w:val="00C33D55"/>
    <w:rsid w:val="00C35CF7"/>
    <w:rsid w:val="00C36EE8"/>
    <w:rsid w:val="00C402F8"/>
    <w:rsid w:val="00C4335B"/>
    <w:rsid w:val="00C442BC"/>
    <w:rsid w:val="00C51E13"/>
    <w:rsid w:val="00C54D34"/>
    <w:rsid w:val="00C56177"/>
    <w:rsid w:val="00C56E42"/>
    <w:rsid w:val="00C57D29"/>
    <w:rsid w:val="00C63885"/>
    <w:rsid w:val="00C6519B"/>
    <w:rsid w:val="00C66B7D"/>
    <w:rsid w:val="00C70FB5"/>
    <w:rsid w:val="00C711F6"/>
    <w:rsid w:val="00C71808"/>
    <w:rsid w:val="00C730DD"/>
    <w:rsid w:val="00C77845"/>
    <w:rsid w:val="00C80027"/>
    <w:rsid w:val="00C80A29"/>
    <w:rsid w:val="00C80D03"/>
    <w:rsid w:val="00C836E4"/>
    <w:rsid w:val="00C900C1"/>
    <w:rsid w:val="00C90F09"/>
    <w:rsid w:val="00C9183C"/>
    <w:rsid w:val="00C91861"/>
    <w:rsid w:val="00C927A8"/>
    <w:rsid w:val="00C9513C"/>
    <w:rsid w:val="00C963D6"/>
    <w:rsid w:val="00C96578"/>
    <w:rsid w:val="00C96BE3"/>
    <w:rsid w:val="00C9706F"/>
    <w:rsid w:val="00CA0975"/>
    <w:rsid w:val="00CA174E"/>
    <w:rsid w:val="00CA416B"/>
    <w:rsid w:val="00CB30F6"/>
    <w:rsid w:val="00CB33BA"/>
    <w:rsid w:val="00CB4E5F"/>
    <w:rsid w:val="00CB6C54"/>
    <w:rsid w:val="00CC0616"/>
    <w:rsid w:val="00CD0C06"/>
    <w:rsid w:val="00CD3BBA"/>
    <w:rsid w:val="00CD4F71"/>
    <w:rsid w:val="00CD7810"/>
    <w:rsid w:val="00CD7E38"/>
    <w:rsid w:val="00CE1367"/>
    <w:rsid w:val="00CE18E0"/>
    <w:rsid w:val="00CE37AC"/>
    <w:rsid w:val="00CE48C5"/>
    <w:rsid w:val="00CE79C1"/>
    <w:rsid w:val="00CF1901"/>
    <w:rsid w:val="00CF2368"/>
    <w:rsid w:val="00CF319A"/>
    <w:rsid w:val="00CF38E6"/>
    <w:rsid w:val="00CF4EE3"/>
    <w:rsid w:val="00CF54FF"/>
    <w:rsid w:val="00CF5FBE"/>
    <w:rsid w:val="00CF6528"/>
    <w:rsid w:val="00D04E9E"/>
    <w:rsid w:val="00D0ECF5"/>
    <w:rsid w:val="00D105E9"/>
    <w:rsid w:val="00D10773"/>
    <w:rsid w:val="00D10E49"/>
    <w:rsid w:val="00D12309"/>
    <w:rsid w:val="00D135C9"/>
    <w:rsid w:val="00D1379F"/>
    <w:rsid w:val="00D26545"/>
    <w:rsid w:val="00D3148F"/>
    <w:rsid w:val="00D36DFE"/>
    <w:rsid w:val="00D37276"/>
    <w:rsid w:val="00D40840"/>
    <w:rsid w:val="00D43D15"/>
    <w:rsid w:val="00D4573F"/>
    <w:rsid w:val="00D45CD7"/>
    <w:rsid w:val="00D474C9"/>
    <w:rsid w:val="00D50E3D"/>
    <w:rsid w:val="00D51907"/>
    <w:rsid w:val="00D55BFE"/>
    <w:rsid w:val="00D5720B"/>
    <w:rsid w:val="00D57499"/>
    <w:rsid w:val="00D57B41"/>
    <w:rsid w:val="00D6019A"/>
    <w:rsid w:val="00D63B8B"/>
    <w:rsid w:val="00D66E50"/>
    <w:rsid w:val="00D66F2A"/>
    <w:rsid w:val="00D750FF"/>
    <w:rsid w:val="00D75EEA"/>
    <w:rsid w:val="00D76DCA"/>
    <w:rsid w:val="00D804B0"/>
    <w:rsid w:val="00D85A64"/>
    <w:rsid w:val="00D90755"/>
    <w:rsid w:val="00D92432"/>
    <w:rsid w:val="00D93C86"/>
    <w:rsid w:val="00D9625C"/>
    <w:rsid w:val="00D97708"/>
    <w:rsid w:val="00D97EC5"/>
    <w:rsid w:val="00DA02DC"/>
    <w:rsid w:val="00DA190D"/>
    <w:rsid w:val="00DA29E6"/>
    <w:rsid w:val="00DA2DDC"/>
    <w:rsid w:val="00DA4814"/>
    <w:rsid w:val="00DA6376"/>
    <w:rsid w:val="00DA674A"/>
    <w:rsid w:val="00DA6BCE"/>
    <w:rsid w:val="00DA7FC8"/>
    <w:rsid w:val="00DB0216"/>
    <w:rsid w:val="00DB04E3"/>
    <w:rsid w:val="00DB4CB8"/>
    <w:rsid w:val="00DB56E1"/>
    <w:rsid w:val="00DC24AD"/>
    <w:rsid w:val="00DD044E"/>
    <w:rsid w:val="00DD1EC8"/>
    <w:rsid w:val="00DD2282"/>
    <w:rsid w:val="00DD2CF5"/>
    <w:rsid w:val="00DD4A33"/>
    <w:rsid w:val="00DD4A38"/>
    <w:rsid w:val="00DD4B58"/>
    <w:rsid w:val="00DD78D9"/>
    <w:rsid w:val="00DE1789"/>
    <w:rsid w:val="00DF00CF"/>
    <w:rsid w:val="00DF282C"/>
    <w:rsid w:val="00DF321E"/>
    <w:rsid w:val="00DF482D"/>
    <w:rsid w:val="00DF6C22"/>
    <w:rsid w:val="00DF79EC"/>
    <w:rsid w:val="00E006DD"/>
    <w:rsid w:val="00E00EBD"/>
    <w:rsid w:val="00E0185E"/>
    <w:rsid w:val="00E01882"/>
    <w:rsid w:val="00E03ACE"/>
    <w:rsid w:val="00E05E35"/>
    <w:rsid w:val="00E1616E"/>
    <w:rsid w:val="00E16C93"/>
    <w:rsid w:val="00E260B4"/>
    <w:rsid w:val="00E262E7"/>
    <w:rsid w:val="00E2741A"/>
    <w:rsid w:val="00E3383D"/>
    <w:rsid w:val="00E33898"/>
    <w:rsid w:val="00E33CB7"/>
    <w:rsid w:val="00E34EC4"/>
    <w:rsid w:val="00E35059"/>
    <w:rsid w:val="00E4578A"/>
    <w:rsid w:val="00E5041D"/>
    <w:rsid w:val="00E50D0C"/>
    <w:rsid w:val="00E51800"/>
    <w:rsid w:val="00E5400D"/>
    <w:rsid w:val="00E6136D"/>
    <w:rsid w:val="00E65AC6"/>
    <w:rsid w:val="00E66443"/>
    <w:rsid w:val="00E71DDD"/>
    <w:rsid w:val="00E727B2"/>
    <w:rsid w:val="00E77ACD"/>
    <w:rsid w:val="00E81B70"/>
    <w:rsid w:val="00E8255A"/>
    <w:rsid w:val="00E87855"/>
    <w:rsid w:val="00E923DB"/>
    <w:rsid w:val="00E9354A"/>
    <w:rsid w:val="00E94ACB"/>
    <w:rsid w:val="00E95549"/>
    <w:rsid w:val="00E95B65"/>
    <w:rsid w:val="00E96193"/>
    <w:rsid w:val="00E963B3"/>
    <w:rsid w:val="00E96774"/>
    <w:rsid w:val="00E97B84"/>
    <w:rsid w:val="00EA3E16"/>
    <w:rsid w:val="00EA5A64"/>
    <w:rsid w:val="00EA5DCB"/>
    <w:rsid w:val="00EA679A"/>
    <w:rsid w:val="00EA75A9"/>
    <w:rsid w:val="00EB2FF4"/>
    <w:rsid w:val="00EB3E42"/>
    <w:rsid w:val="00EB5CBB"/>
    <w:rsid w:val="00EC228F"/>
    <w:rsid w:val="00EC5611"/>
    <w:rsid w:val="00EC6BA8"/>
    <w:rsid w:val="00ED25DF"/>
    <w:rsid w:val="00ED3D81"/>
    <w:rsid w:val="00ED56F3"/>
    <w:rsid w:val="00ED6045"/>
    <w:rsid w:val="00ED76D9"/>
    <w:rsid w:val="00EE121D"/>
    <w:rsid w:val="00EE27A9"/>
    <w:rsid w:val="00EE326E"/>
    <w:rsid w:val="00EE4129"/>
    <w:rsid w:val="00EE72DB"/>
    <w:rsid w:val="00EF1313"/>
    <w:rsid w:val="00EF77D8"/>
    <w:rsid w:val="00F007D4"/>
    <w:rsid w:val="00F00B58"/>
    <w:rsid w:val="00F048B5"/>
    <w:rsid w:val="00F071B3"/>
    <w:rsid w:val="00F07ABD"/>
    <w:rsid w:val="00F10362"/>
    <w:rsid w:val="00F1307E"/>
    <w:rsid w:val="00F1408D"/>
    <w:rsid w:val="00F1507A"/>
    <w:rsid w:val="00F16300"/>
    <w:rsid w:val="00F17410"/>
    <w:rsid w:val="00F23766"/>
    <w:rsid w:val="00F25787"/>
    <w:rsid w:val="00F33158"/>
    <w:rsid w:val="00F3404E"/>
    <w:rsid w:val="00F44CA1"/>
    <w:rsid w:val="00F4595E"/>
    <w:rsid w:val="00F5063D"/>
    <w:rsid w:val="00F50692"/>
    <w:rsid w:val="00F5333E"/>
    <w:rsid w:val="00F5446F"/>
    <w:rsid w:val="00F56B1F"/>
    <w:rsid w:val="00F61396"/>
    <w:rsid w:val="00F6139B"/>
    <w:rsid w:val="00F655B5"/>
    <w:rsid w:val="00F6594D"/>
    <w:rsid w:val="00F65971"/>
    <w:rsid w:val="00F662F9"/>
    <w:rsid w:val="00F66AC5"/>
    <w:rsid w:val="00F6C63C"/>
    <w:rsid w:val="00F72326"/>
    <w:rsid w:val="00F7267B"/>
    <w:rsid w:val="00F737EF"/>
    <w:rsid w:val="00F75A01"/>
    <w:rsid w:val="00F75F51"/>
    <w:rsid w:val="00F7644F"/>
    <w:rsid w:val="00F7668A"/>
    <w:rsid w:val="00F778CC"/>
    <w:rsid w:val="00F81D71"/>
    <w:rsid w:val="00F83595"/>
    <w:rsid w:val="00F87E25"/>
    <w:rsid w:val="00F9043F"/>
    <w:rsid w:val="00F925EB"/>
    <w:rsid w:val="00F93AEB"/>
    <w:rsid w:val="00F93DA7"/>
    <w:rsid w:val="00F94C22"/>
    <w:rsid w:val="00F9764D"/>
    <w:rsid w:val="00FA5822"/>
    <w:rsid w:val="00FA7771"/>
    <w:rsid w:val="00FB0348"/>
    <w:rsid w:val="00FB23DA"/>
    <w:rsid w:val="00FB3035"/>
    <w:rsid w:val="00FB4901"/>
    <w:rsid w:val="00FB5C9B"/>
    <w:rsid w:val="00FB66CE"/>
    <w:rsid w:val="00FB6BA4"/>
    <w:rsid w:val="00FB71D0"/>
    <w:rsid w:val="00FC1730"/>
    <w:rsid w:val="00FD58C8"/>
    <w:rsid w:val="00FD66D2"/>
    <w:rsid w:val="00FD6807"/>
    <w:rsid w:val="00FE108F"/>
    <w:rsid w:val="00FE7591"/>
    <w:rsid w:val="00FF0DE7"/>
    <w:rsid w:val="00FF0F7A"/>
    <w:rsid w:val="00FF23CB"/>
    <w:rsid w:val="00FF25CF"/>
    <w:rsid w:val="00FF30B6"/>
    <w:rsid w:val="01177769"/>
    <w:rsid w:val="0121FCD6"/>
    <w:rsid w:val="012CA51F"/>
    <w:rsid w:val="012DA83D"/>
    <w:rsid w:val="012E7F23"/>
    <w:rsid w:val="01356461"/>
    <w:rsid w:val="013E147A"/>
    <w:rsid w:val="014B3CCA"/>
    <w:rsid w:val="015698EB"/>
    <w:rsid w:val="0164D3BD"/>
    <w:rsid w:val="0167641C"/>
    <w:rsid w:val="016C2122"/>
    <w:rsid w:val="016E4FF3"/>
    <w:rsid w:val="0175C922"/>
    <w:rsid w:val="017AC1E7"/>
    <w:rsid w:val="017BE2D5"/>
    <w:rsid w:val="0187A6A7"/>
    <w:rsid w:val="018D633A"/>
    <w:rsid w:val="0199A07E"/>
    <w:rsid w:val="019C046C"/>
    <w:rsid w:val="01AD84CD"/>
    <w:rsid w:val="01B790CD"/>
    <w:rsid w:val="01B8C95C"/>
    <w:rsid w:val="01D9F67C"/>
    <w:rsid w:val="01FEA077"/>
    <w:rsid w:val="020A917B"/>
    <w:rsid w:val="0226B585"/>
    <w:rsid w:val="0228A261"/>
    <w:rsid w:val="022D1730"/>
    <w:rsid w:val="02380BAB"/>
    <w:rsid w:val="0252D985"/>
    <w:rsid w:val="0255B511"/>
    <w:rsid w:val="02625C9B"/>
    <w:rsid w:val="02922D42"/>
    <w:rsid w:val="0294F2C8"/>
    <w:rsid w:val="02A3862C"/>
    <w:rsid w:val="02A8DD29"/>
    <w:rsid w:val="02A8EA91"/>
    <w:rsid w:val="02ACAF63"/>
    <w:rsid w:val="02AE9503"/>
    <w:rsid w:val="02BA79D1"/>
    <w:rsid w:val="02BFD63D"/>
    <w:rsid w:val="02EE3249"/>
    <w:rsid w:val="02FCA57F"/>
    <w:rsid w:val="02FE3EAC"/>
    <w:rsid w:val="03018F38"/>
    <w:rsid w:val="0304384F"/>
    <w:rsid w:val="03098658"/>
    <w:rsid w:val="03337E53"/>
    <w:rsid w:val="03409AD6"/>
    <w:rsid w:val="034636D1"/>
    <w:rsid w:val="0349C3E8"/>
    <w:rsid w:val="0351B4E8"/>
    <w:rsid w:val="03548950"/>
    <w:rsid w:val="035D27D9"/>
    <w:rsid w:val="035EB880"/>
    <w:rsid w:val="035EEC70"/>
    <w:rsid w:val="0362421A"/>
    <w:rsid w:val="036A6BD4"/>
    <w:rsid w:val="0375E916"/>
    <w:rsid w:val="0376CB24"/>
    <w:rsid w:val="038BEC98"/>
    <w:rsid w:val="038C95F2"/>
    <w:rsid w:val="0399D0DE"/>
    <w:rsid w:val="039EAC6C"/>
    <w:rsid w:val="03A0D139"/>
    <w:rsid w:val="03B9BA3B"/>
    <w:rsid w:val="03C0492E"/>
    <w:rsid w:val="03D0C1CC"/>
    <w:rsid w:val="03D96EFA"/>
    <w:rsid w:val="03DED905"/>
    <w:rsid w:val="03DF0A55"/>
    <w:rsid w:val="03F3BF7C"/>
    <w:rsid w:val="0408272F"/>
    <w:rsid w:val="041E711F"/>
    <w:rsid w:val="042B91D6"/>
    <w:rsid w:val="0430EEAE"/>
    <w:rsid w:val="04509B66"/>
    <w:rsid w:val="045459A5"/>
    <w:rsid w:val="045A6AC0"/>
    <w:rsid w:val="045C754B"/>
    <w:rsid w:val="045DAE22"/>
    <w:rsid w:val="0466BFAF"/>
    <w:rsid w:val="046C955B"/>
    <w:rsid w:val="046EFEF9"/>
    <w:rsid w:val="04730D63"/>
    <w:rsid w:val="04A816C5"/>
    <w:rsid w:val="04C99622"/>
    <w:rsid w:val="04E494EB"/>
    <w:rsid w:val="0500BF9A"/>
    <w:rsid w:val="0541D993"/>
    <w:rsid w:val="0548EE4A"/>
    <w:rsid w:val="055DB601"/>
    <w:rsid w:val="056158F0"/>
    <w:rsid w:val="0562A40F"/>
    <w:rsid w:val="0569D80F"/>
    <w:rsid w:val="056E74C1"/>
    <w:rsid w:val="0579B34A"/>
    <w:rsid w:val="0582ECB4"/>
    <w:rsid w:val="0589CD95"/>
    <w:rsid w:val="0597FC23"/>
    <w:rsid w:val="0599050F"/>
    <w:rsid w:val="05B42A46"/>
    <w:rsid w:val="05C313C1"/>
    <w:rsid w:val="05D0EDEF"/>
    <w:rsid w:val="05F1C9B8"/>
    <w:rsid w:val="05FA59B2"/>
    <w:rsid w:val="05FCB6A1"/>
    <w:rsid w:val="061B3608"/>
    <w:rsid w:val="061BF710"/>
    <w:rsid w:val="06220D9E"/>
    <w:rsid w:val="06353AAF"/>
    <w:rsid w:val="0639A5D6"/>
    <w:rsid w:val="063C744E"/>
    <w:rsid w:val="063E44EB"/>
    <w:rsid w:val="066A3F19"/>
    <w:rsid w:val="066F3EE5"/>
    <w:rsid w:val="0674F7EF"/>
    <w:rsid w:val="06928CB9"/>
    <w:rsid w:val="06AA1FB0"/>
    <w:rsid w:val="06ADB7FC"/>
    <w:rsid w:val="06B5A5C2"/>
    <w:rsid w:val="06C1CD94"/>
    <w:rsid w:val="06C9C8CD"/>
    <w:rsid w:val="06D1390B"/>
    <w:rsid w:val="06D4252C"/>
    <w:rsid w:val="06D46E45"/>
    <w:rsid w:val="06D5CCA2"/>
    <w:rsid w:val="06F497F8"/>
    <w:rsid w:val="07003456"/>
    <w:rsid w:val="0732EFB4"/>
    <w:rsid w:val="0753F208"/>
    <w:rsid w:val="075C9D15"/>
    <w:rsid w:val="076631FF"/>
    <w:rsid w:val="0768DD6C"/>
    <w:rsid w:val="076CBE50"/>
    <w:rsid w:val="076D4945"/>
    <w:rsid w:val="07765398"/>
    <w:rsid w:val="078B2481"/>
    <w:rsid w:val="079E62CE"/>
    <w:rsid w:val="07A77F23"/>
    <w:rsid w:val="07B410F9"/>
    <w:rsid w:val="07D051F8"/>
    <w:rsid w:val="07DFBF6C"/>
    <w:rsid w:val="07E0874B"/>
    <w:rsid w:val="07F34EDE"/>
    <w:rsid w:val="07F76914"/>
    <w:rsid w:val="07FCB8F8"/>
    <w:rsid w:val="0813EDD0"/>
    <w:rsid w:val="08206897"/>
    <w:rsid w:val="0841042C"/>
    <w:rsid w:val="0843941B"/>
    <w:rsid w:val="086F2B55"/>
    <w:rsid w:val="0880C185"/>
    <w:rsid w:val="08B1C2D2"/>
    <w:rsid w:val="08B9C167"/>
    <w:rsid w:val="08BA284B"/>
    <w:rsid w:val="08BA2EAF"/>
    <w:rsid w:val="08E1C06F"/>
    <w:rsid w:val="091B9B54"/>
    <w:rsid w:val="092FA5EB"/>
    <w:rsid w:val="09300185"/>
    <w:rsid w:val="0938FD43"/>
    <w:rsid w:val="09614E9B"/>
    <w:rsid w:val="097F4C89"/>
    <w:rsid w:val="0980DB07"/>
    <w:rsid w:val="098182DB"/>
    <w:rsid w:val="0983FBAA"/>
    <w:rsid w:val="0999E7FA"/>
    <w:rsid w:val="09A091BE"/>
    <w:rsid w:val="09D7E643"/>
    <w:rsid w:val="09E6CDF1"/>
    <w:rsid w:val="0A0294BD"/>
    <w:rsid w:val="0A12D343"/>
    <w:rsid w:val="0A1CD89D"/>
    <w:rsid w:val="0A24CAE7"/>
    <w:rsid w:val="0A274B79"/>
    <w:rsid w:val="0A2776A2"/>
    <w:rsid w:val="0A2A25C8"/>
    <w:rsid w:val="0A345998"/>
    <w:rsid w:val="0A3E74C1"/>
    <w:rsid w:val="0A4D2F42"/>
    <w:rsid w:val="0A522E17"/>
    <w:rsid w:val="0A7A9898"/>
    <w:rsid w:val="0A91EBB7"/>
    <w:rsid w:val="0A9638BC"/>
    <w:rsid w:val="0A96C41A"/>
    <w:rsid w:val="0AAA7E8A"/>
    <w:rsid w:val="0AC24D3C"/>
    <w:rsid w:val="0ACB764C"/>
    <w:rsid w:val="0ACFEAE8"/>
    <w:rsid w:val="0AD85849"/>
    <w:rsid w:val="0AD940DE"/>
    <w:rsid w:val="0ADC14C4"/>
    <w:rsid w:val="0AEC8600"/>
    <w:rsid w:val="0AF25301"/>
    <w:rsid w:val="0B09085E"/>
    <w:rsid w:val="0B0D1D9B"/>
    <w:rsid w:val="0B109B90"/>
    <w:rsid w:val="0B1D1C30"/>
    <w:rsid w:val="0B2989F5"/>
    <w:rsid w:val="0B2C82DB"/>
    <w:rsid w:val="0B633C98"/>
    <w:rsid w:val="0B72F0AF"/>
    <w:rsid w:val="0B8D7BF0"/>
    <w:rsid w:val="0B96CC04"/>
    <w:rsid w:val="0B9A3003"/>
    <w:rsid w:val="0BBDB8A9"/>
    <w:rsid w:val="0BD9247D"/>
    <w:rsid w:val="0BDF8029"/>
    <w:rsid w:val="0BE6246B"/>
    <w:rsid w:val="0C0590B5"/>
    <w:rsid w:val="0C17ED26"/>
    <w:rsid w:val="0C23E2EE"/>
    <w:rsid w:val="0C3C0093"/>
    <w:rsid w:val="0C44B566"/>
    <w:rsid w:val="0C6DD328"/>
    <w:rsid w:val="0C812BDB"/>
    <w:rsid w:val="0C88C37C"/>
    <w:rsid w:val="0C8C49E0"/>
    <w:rsid w:val="0C8E6852"/>
    <w:rsid w:val="0C8F0D36"/>
    <w:rsid w:val="0CA0AA50"/>
    <w:rsid w:val="0CA40AC6"/>
    <w:rsid w:val="0CA41E40"/>
    <w:rsid w:val="0CA5B1F0"/>
    <w:rsid w:val="0CA82F44"/>
    <w:rsid w:val="0CA9311F"/>
    <w:rsid w:val="0CAC6BF1"/>
    <w:rsid w:val="0CC20A9B"/>
    <w:rsid w:val="0CD3CFD1"/>
    <w:rsid w:val="0CD7033E"/>
    <w:rsid w:val="0CD9D8E7"/>
    <w:rsid w:val="0CDECD44"/>
    <w:rsid w:val="0CE5815B"/>
    <w:rsid w:val="0CEFB303"/>
    <w:rsid w:val="0D242E86"/>
    <w:rsid w:val="0D2DE537"/>
    <w:rsid w:val="0D34674A"/>
    <w:rsid w:val="0D453F78"/>
    <w:rsid w:val="0D4A2319"/>
    <w:rsid w:val="0D58B179"/>
    <w:rsid w:val="0D64C545"/>
    <w:rsid w:val="0D6B0049"/>
    <w:rsid w:val="0D6DC659"/>
    <w:rsid w:val="0D7EE0BB"/>
    <w:rsid w:val="0D826644"/>
    <w:rsid w:val="0D9092B3"/>
    <w:rsid w:val="0D96C85A"/>
    <w:rsid w:val="0DAC9966"/>
    <w:rsid w:val="0DB169BB"/>
    <w:rsid w:val="0DCDAC0A"/>
    <w:rsid w:val="0DD7C984"/>
    <w:rsid w:val="0DDE6E42"/>
    <w:rsid w:val="0E065BB0"/>
    <w:rsid w:val="0E1BA7B6"/>
    <w:rsid w:val="0E39C9A0"/>
    <w:rsid w:val="0E4088D9"/>
    <w:rsid w:val="0E486BC0"/>
    <w:rsid w:val="0E4F3F5C"/>
    <w:rsid w:val="0E5525E5"/>
    <w:rsid w:val="0E7FFDE8"/>
    <w:rsid w:val="0E96B9B9"/>
    <w:rsid w:val="0E9A185B"/>
    <w:rsid w:val="0EA46B98"/>
    <w:rsid w:val="0EAFB69E"/>
    <w:rsid w:val="0ED8E185"/>
    <w:rsid w:val="0EDBFA08"/>
    <w:rsid w:val="0EDCB679"/>
    <w:rsid w:val="0EE2B1A5"/>
    <w:rsid w:val="0EE7B2F6"/>
    <w:rsid w:val="0EE99A33"/>
    <w:rsid w:val="0F147E43"/>
    <w:rsid w:val="0F269D45"/>
    <w:rsid w:val="0F4AD9FA"/>
    <w:rsid w:val="0F5DFAC7"/>
    <w:rsid w:val="0F5F6452"/>
    <w:rsid w:val="0F61E2EE"/>
    <w:rsid w:val="0F6255A8"/>
    <w:rsid w:val="0F67D1E1"/>
    <w:rsid w:val="0F6F4D02"/>
    <w:rsid w:val="0F70D3C8"/>
    <w:rsid w:val="0F75D1F5"/>
    <w:rsid w:val="0F7FE78C"/>
    <w:rsid w:val="0F8B7583"/>
    <w:rsid w:val="0F9C7D0E"/>
    <w:rsid w:val="0FA3FED2"/>
    <w:rsid w:val="0FA6E145"/>
    <w:rsid w:val="0FABA689"/>
    <w:rsid w:val="0FB58245"/>
    <w:rsid w:val="0FB7C365"/>
    <w:rsid w:val="0FC6F5E7"/>
    <w:rsid w:val="0FD7A416"/>
    <w:rsid w:val="0FE68932"/>
    <w:rsid w:val="101AD5CD"/>
    <w:rsid w:val="102F965A"/>
    <w:rsid w:val="10315990"/>
    <w:rsid w:val="10431762"/>
    <w:rsid w:val="10483C58"/>
    <w:rsid w:val="104930F5"/>
    <w:rsid w:val="106B9CB1"/>
    <w:rsid w:val="108BE04C"/>
    <w:rsid w:val="1091C528"/>
    <w:rsid w:val="10A84A0F"/>
    <w:rsid w:val="10BEF901"/>
    <w:rsid w:val="10CE7537"/>
    <w:rsid w:val="10D4B02F"/>
    <w:rsid w:val="10DB65AB"/>
    <w:rsid w:val="10E5D7BC"/>
    <w:rsid w:val="10F0E7A9"/>
    <w:rsid w:val="10FCC778"/>
    <w:rsid w:val="110D45DE"/>
    <w:rsid w:val="110F382D"/>
    <w:rsid w:val="111D4F47"/>
    <w:rsid w:val="112ADA3E"/>
    <w:rsid w:val="1137B2DB"/>
    <w:rsid w:val="114EA9EA"/>
    <w:rsid w:val="11553F88"/>
    <w:rsid w:val="1157DCFA"/>
    <w:rsid w:val="11674ACF"/>
    <w:rsid w:val="116A1C16"/>
    <w:rsid w:val="1178619C"/>
    <w:rsid w:val="117AF3DE"/>
    <w:rsid w:val="118CF932"/>
    <w:rsid w:val="11937FE2"/>
    <w:rsid w:val="11A9A291"/>
    <w:rsid w:val="11AFE3CC"/>
    <w:rsid w:val="11C2DBC5"/>
    <w:rsid w:val="11D2F570"/>
    <w:rsid w:val="11F60E24"/>
    <w:rsid w:val="1214B1A5"/>
    <w:rsid w:val="1216B524"/>
    <w:rsid w:val="121CE41C"/>
    <w:rsid w:val="1239F2FC"/>
    <w:rsid w:val="123C3732"/>
    <w:rsid w:val="12458FDC"/>
    <w:rsid w:val="125341E4"/>
    <w:rsid w:val="1253B5C8"/>
    <w:rsid w:val="125E6367"/>
    <w:rsid w:val="1260DC9F"/>
    <w:rsid w:val="1276035F"/>
    <w:rsid w:val="127869E0"/>
    <w:rsid w:val="1279B354"/>
    <w:rsid w:val="12885E1D"/>
    <w:rsid w:val="128A27DC"/>
    <w:rsid w:val="128C9AC6"/>
    <w:rsid w:val="12B68D0E"/>
    <w:rsid w:val="12C8029F"/>
    <w:rsid w:val="12E659F1"/>
    <w:rsid w:val="12F73E64"/>
    <w:rsid w:val="12FBE1F3"/>
    <w:rsid w:val="12FF6692"/>
    <w:rsid w:val="12FFAD61"/>
    <w:rsid w:val="13037AF4"/>
    <w:rsid w:val="1306517C"/>
    <w:rsid w:val="130EDF55"/>
    <w:rsid w:val="131A1164"/>
    <w:rsid w:val="1331A311"/>
    <w:rsid w:val="133EBD30"/>
    <w:rsid w:val="13448FE8"/>
    <w:rsid w:val="13520927"/>
    <w:rsid w:val="135F4EC0"/>
    <w:rsid w:val="137891BB"/>
    <w:rsid w:val="13800493"/>
    <w:rsid w:val="13880F95"/>
    <w:rsid w:val="13B5340D"/>
    <w:rsid w:val="13B79198"/>
    <w:rsid w:val="13C22E0D"/>
    <w:rsid w:val="13CD30B8"/>
    <w:rsid w:val="13D41CA9"/>
    <w:rsid w:val="13E856B3"/>
    <w:rsid w:val="13F4D256"/>
    <w:rsid w:val="140696D7"/>
    <w:rsid w:val="141E4B1D"/>
    <w:rsid w:val="1424B0C0"/>
    <w:rsid w:val="142D68C8"/>
    <w:rsid w:val="143BBB08"/>
    <w:rsid w:val="1454BEE4"/>
    <w:rsid w:val="145A2D4F"/>
    <w:rsid w:val="14618180"/>
    <w:rsid w:val="148A6A8E"/>
    <w:rsid w:val="148E563D"/>
    <w:rsid w:val="148EE381"/>
    <w:rsid w:val="1492B2E0"/>
    <w:rsid w:val="14984A9B"/>
    <w:rsid w:val="149903C8"/>
    <w:rsid w:val="14A10536"/>
    <w:rsid w:val="14A16592"/>
    <w:rsid w:val="14A34DB7"/>
    <w:rsid w:val="14ACBA32"/>
    <w:rsid w:val="14BA11F2"/>
    <w:rsid w:val="14CCA2F6"/>
    <w:rsid w:val="14D0CA80"/>
    <w:rsid w:val="14D79D60"/>
    <w:rsid w:val="14FDECF2"/>
    <w:rsid w:val="150146A6"/>
    <w:rsid w:val="1507E8A8"/>
    <w:rsid w:val="1517210E"/>
    <w:rsid w:val="1523B882"/>
    <w:rsid w:val="15253333"/>
    <w:rsid w:val="15395EDC"/>
    <w:rsid w:val="154C1AF8"/>
    <w:rsid w:val="155EE9F7"/>
    <w:rsid w:val="1565600A"/>
    <w:rsid w:val="15782A0C"/>
    <w:rsid w:val="1589902A"/>
    <w:rsid w:val="158F097D"/>
    <w:rsid w:val="15A85B52"/>
    <w:rsid w:val="15AFD28E"/>
    <w:rsid w:val="15BA1B7E"/>
    <w:rsid w:val="15C2CCF9"/>
    <w:rsid w:val="15CAD963"/>
    <w:rsid w:val="15E39FA1"/>
    <w:rsid w:val="15EBCBF4"/>
    <w:rsid w:val="15EC3101"/>
    <w:rsid w:val="1614521F"/>
    <w:rsid w:val="1632893B"/>
    <w:rsid w:val="163B6847"/>
    <w:rsid w:val="1640C574"/>
    <w:rsid w:val="165EE053"/>
    <w:rsid w:val="1669BF1A"/>
    <w:rsid w:val="1680C3B6"/>
    <w:rsid w:val="168E3C49"/>
    <w:rsid w:val="16905C35"/>
    <w:rsid w:val="16994CD5"/>
    <w:rsid w:val="1699BD53"/>
    <w:rsid w:val="16C293A0"/>
    <w:rsid w:val="16D68750"/>
    <w:rsid w:val="16E819E1"/>
    <w:rsid w:val="16EE4062"/>
    <w:rsid w:val="16F30F08"/>
    <w:rsid w:val="16F51F28"/>
    <w:rsid w:val="17012BF1"/>
    <w:rsid w:val="171DB06C"/>
    <w:rsid w:val="1767ACB5"/>
    <w:rsid w:val="17696C57"/>
    <w:rsid w:val="176AE392"/>
    <w:rsid w:val="1782CFE4"/>
    <w:rsid w:val="179EA039"/>
    <w:rsid w:val="17A44DC7"/>
    <w:rsid w:val="17A75EC3"/>
    <w:rsid w:val="17ACD064"/>
    <w:rsid w:val="17B30847"/>
    <w:rsid w:val="17B7224F"/>
    <w:rsid w:val="17D66CAB"/>
    <w:rsid w:val="17DB3A6F"/>
    <w:rsid w:val="17DCBC88"/>
    <w:rsid w:val="17E4AA0E"/>
    <w:rsid w:val="18031BF6"/>
    <w:rsid w:val="181053EB"/>
    <w:rsid w:val="182F437A"/>
    <w:rsid w:val="183DECF4"/>
    <w:rsid w:val="184C02DE"/>
    <w:rsid w:val="1850E487"/>
    <w:rsid w:val="185A1AE2"/>
    <w:rsid w:val="185FFAD5"/>
    <w:rsid w:val="186EA8A4"/>
    <w:rsid w:val="1872762D"/>
    <w:rsid w:val="188FDC22"/>
    <w:rsid w:val="1895FB76"/>
    <w:rsid w:val="18A8F33A"/>
    <w:rsid w:val="18BC385D"/>
    <w:rsid w:val="18BD9B7D"/>
    <w:rsid w:val="18CAAAA8"/>
    <w:rsid w:val="18DA9F17"/>
    <w:rsid w:val="18E0EB3D"/>
    <w:rsid w:val="18FDACB5"/>
    <w:rsid w:val="191077AB"/>
    <w:rsid w:val="1916DE77"/>
    <w:rsid w:val="1928AC98"/>
    <w:rsid w:val="192D9E72"/>
    <w:rsid w:val="1947E1A5"/>
    <w:rsid w:val="19497603"/>
    <w:rsid w:val="1970EDC8"/>
    <w:rsid w:val="19788CE9"/>
    <w:rsid w:val="19794C3E"/>
    <w:rsid w:val="197AAE79"/>
    <w:rsid w:val="19B4B40C"/>
    <w:rsid w:val="19CB7666"/>
    <w:rsid w:val="19DD3CD5"/>
    <w:rsid w:val="19DDECF6"/>
    <w:rsid w:val="19E57F7F"/>
    <w:rsid w:val="19F06CEC"/>
    <w:rsid w:val="19F1DF77"/>
    <w:rsid w:val="1A06BA0D"/>
    <w:rsid w:val="1A09E653"/>
    <w:rsid w:val="1A0E4CF1"/>
    <w:rsid w:val="1A0E597D"/>
    <w:rsid w:val="1A2C65E1"/>
    <w:rsid w:val="1A2C987E"/>
    <w:rsid w:val="1A393809"/>
    <w:rsid w:val="1A46DF25"/>
    <w:rsid w:val="1A58D8B1"/>
    <w:rsid w:val="1A6571B6"/>
    <w:rsid w:val="1A6768DF"/>
    <w:rsid w:val="1A7A43E2"/>
    <w:rsid w:val="1A8FB041"/>
    <w:rsid w:val="1A90E349"/>
    <w:rsid w:val="1A933270"/>
    <w:rsid w:val="1ABF2780"/>
    <w:rsid w:val="1ABF5C1F"/>
    <w:rsid w:val="1AC21207"/>
    <w:rsid w:val="1AC413F3"/>
    <w:rsid w:val="1ADE13AB"/>
    <w:rsid w:val="1B245F38"/>
    <w:rsid w:val="1B262723"/>
    <w:rsid w:val="1B34B6BE"/>
    <w:rsid w:val="1B3ABCB8"/>
    <w:rsid w:val="1B4C0459"/>
    <w:rsid w:val="1B85C9F3"/>
    <w:rsid w:val="1B9155A4"/>
    <w:rsid w:val="1BA0467A"/>
    <w:rsid w:val="1BA0AA8A"/>
    <w:rsid w:val="1BAF8909"/>
    <w:rsid w:val="1BB62667"/>
    <w:rsid w:val="1BC1BC31"/>
    <w:rsid w:val="1BCA1CC1"/>
    <w:rsid w:val="1BCDE6E6"/>
    <w:rsid w:val="1BCE2658"/>
    <w:rsid w:val="1BD3C55A"/>
    <w:rsid w:val="1BDFA6EA"/>
    <w:rsid w:val="1BED34C3"/>
    <w:rsid w:val="1C0B5A9D"/>
    <w:rsid w:val="1C113351"/>
    <w:rsid w:val="1C17AD23"/>
    <w:rsid w:val="1C1BAC9D"/>
    <w:rsid w:val="1C2A6FAB"/>
    <w:rsid w:val="1C36F62F"/>
    <w:rsid w:val="1C3A3FED"/>
    <w:rsid w:val="1C4DB91E"/>
    <w:rsid w:val="1C6176ED"/>
    <w:rsid w:val="1C69BA28"/>
    <w:rsid w:val="1C76D2CC"/>
    <w:rsid w:val="1C8B26E7"/>
    <w:rsid w:val="1C8E6738"/>
    <w:rsid w:val="1CA782F8"/>
    <w:rsid w:val="1CBD4A9F"/>
    <w:rsid w:val="1CBF2695"/>
    <w:rsid w:val="1CC3F8C2"/>
    <w:rsid w:val="1CCB7FC2"/>
    <w:rsid w:val="1CD68D19"/>
    <w:rsid w:val="1CF8A11B"/>
    <w:rsid w:val="1CFEF5E0"/>
    <w:rsid w:val="1D15B3FB"/>
    <w:rsid w:val="1D191AD7"/>
    <w:rsid w:val="1D1C56F9"/>
    <w:rsid w:val="1D2C8951"/>
    <w:rsid w:val="1D302732"/>
    <w:rsid w:val="1D6B2073"/>
    <w:rsid w:val="1D747869"/>
    <w:rsid w:val="1D79E16F"/>
    <w:rsid w:val="1D851CC3"/>
    <w:rsid w:val="1D8D2D30"/>
    <w:rsid w:val="1D8D8345"/>
    <w:rsid w:val="1D92B191"/>
    <w:rsid w:val="1D963F79"/>
    <w:rsid w:val="1D9CAFEB"/>
    <w:rsid w:val="1D9F3408"/>
    <w:rsid w:val="1DA9963D"/>
    <w:rsid w:val="1DD83B7C"/>
    <w:rsid w:val="1DF74F1E"/>
    <w:rsid w:val="1DFFB643"/>
    <w:rsid w:val="1DFFC52D"/>
    <w:rsid w:val="1E001A30"/>
    <w:rsid w:val="1E013465"/>
    <w:rsid w:val="1E33143D"/>
    <w:rsid w:val="1E371637"/>
    <w:rsid w:val="1E4F873D"/>
    <w:rsid w:val="1E8501C2"/>
    <w:rsid w:val="1E9AB46A"/>
    <w:rsid w:val="1E9CC508"/>
    <w:rsid w:val="1EA146CE"/>
    <w:rsid w:val="1EA41FC4"/>
    <w:rsid w:val="1EB9E52E"/>
    <w:rsid w:val="1EBF0A6C"/>
    <w:rsid w:val="1EC7CE4E"/>
    <w:rsid w:val="1ED9D51A"/>
    <w:rsid w:val="1EE99F24"/>
    <w:rsid w:val="1EF1EA23"/>
    <w:rsid w:val="1EF1FB36"/>
    <w:rsid w:val="1EF2AAD0"/>
    <w:rsid w:val="1EF5BFA7"/>
    <w:rsid w:val="1F08E276"/>
    <w:rsid w:val="1F17752D"/>
    <w:rsid w:val="1F1DB7BF"/>
    <w:rsid w:val="1F320443"/>
    <w:rsid w:val="1F41939D"/>
    <w:rsid w:val="1F44785F"/>
    <w:rsid w:val="1F44BE6E"/>
    <w:rsid w:val="1F45ACF6"/>
    <w:rsid w:val="1F5034B8"/>
    <w:rsid w:val="1F5FE3C3"/>
    <w:rsid w:val="1F64FF37"/>
    <w:rsid w:val="1F844D52"/>
    <w:rsid w:val="1F8C0400"/>
    <w:rsid w:val="1F93581F"/>
    <w:rsid w:val="1F992BEF"/>
    <w:rsid w:val="1F998610"/>
    <w:rsid w:val="1FA5BA9B"/>
    <w:rsid w:val="1FDF7E8D"/>
    <w:rsid w:val="1FEC3FF1"/>
    <w:rsid w:val="200BF049"/>
    <w:rsid w:val="2028842D"/>
    <w:rsid w:val="204AD155"/>
    <w:rsid w:val="20636204"/>
    <w:rsid w:val="206C9776"/>
    <w:rsid w:val="20767040"/>
    <w:rsid w:val="207D4DFB"/>
    <w:rsid w:val="207FBDF1"/>
    <w:rsid w:val="20B6027E"/>
    <w:rsid w:val="20CAAF4C"/>
    <w:rsid w:val="20E270ED"/>
    <w:rsid w:val="20E6C091"/>
    <w:rsid w:val="21031EB9"/>
    <w:rsid w:val="2118BCE2"/>
    <w:rsid w:val="211E495C"/>
    <w:rsid w:val="211FBB0B"/>
    <w:rsid w:val="2133D5C2"/>
    <w:rsid w:val="215106E0"/>
    <w:rsid w:val="215B0407"/>
    <w:rsid w:val="21634FF9"/>
    <w:rsid w:val="219BCE2F"/>
    <w:rsid w:val="21B8ADF2"/>
    <w:rsid w:val="21C9AB20"/>
    <w:rsid w:val="21DB7CE6"/>
    <w:rsid w:val="21DFDBD3"/>
    <w:rsid w:val="21E10AF9"/>
    <w:rsid w:val="221485F7"/>
    <w:rsid w:val="2237A431"/>
    <w:rsid w:val="2241E892"/>
    <w:rsid w:val="225C14DB"/>
    <w:rsid w:val="22709B74"/>
    <w:rsid w:val="227EADF1"/>
    <w:rsid w:val="22877D63"/>
    <w:rsid w:val="22895335"/>
    <w:rsid w:val="22A28C9E"/>
    <w:rsid w:val="22A2E018"/>
    <w:rsid w:val="22D19BA5"/>
    <w:rsid w:val="22D8AA43"/>
    <w:rsid w:val="22DB3C9E"/>
    <w:rsid w:val="22E6A817"/>
    <w:rsid w:val="22ED985D"/>
    <w:rsid w:val="22F3CA54"/>
    <w:rsid w:val="22F78DF7"/>
    <w:rsid w:val="230F1AF5"/>
    <w:rsid w:val="231D46CF"/>
    <w:rsid w:val="231FBC96"/>
    <w:rsid w:val="235376D1"/>
    <w:rsid w:val="237188F7"/>
    <w:rsid w:val="2386831E"/>
    <w:rsid w:val="239134DE"/>
    <w:rsid w:val="23AAB046"/>
    <w:rsid w:val="23ABAE96"/>
    <w:rsid w:val="23B657F1"/>
    <w:rsid w:val="23B93A7F"/>
    <w:rsid w:val="23CAC1DF"/>
    <w:rsid w:val="23D457E0"/>
    <w:rsid w:val="23DE1222"/>
    <w:rsid w:val="23E593A0"/>
    <w:rsid w:val="23E957D4"/>
    <w:rsid w:val="23E99121"/>
    <w:rsid w:val="23EF3037"/>
    <w:rsid w:val="23F45E47"/>
    <w:rsid w:val="23F8EF41"/>
    <w:rsid w:val="242BEC22"/>
    <w:rsid w:val="242E8B87"/>
    <w:rsid w:val="24613F26"/>
    <w:rsid w:val="2469DB46"/>
    <w:rsid w:val="246B99F3"/>
    <w:rsid w:val="247382A5"/>
    <w:rsid w:val="249F2833"/>
    <w:rsid w:val="24A2C3D7"/>
    <w:rsid w:val="24B57ACB"/>
    <w:rsid w:val="24BA119B"/>
    <w:rsid w:val="24CCE866"/>
    <w:rsid w:val="24E78356"/>
    <w:rsid w:val="24E9360F"/>
    <w:rsid w:val="24F6FF1D"/>
    <w:rsid w:val="250AB6A6"/>
    <w:rsid w:val="252831DA"/>
    <w:rsid w:val="252AC57A"/>
    <w:rsid w:val="252CE739"/>
    <w:rsid w:val="252D0231"/>
    <w:rsid w:val="25361AD1"/>
    <w:rsid w:val="25405370"/>
    <w:rsid w:val="25918789"/>
    <w:rsid w:val="2597A65F"/>
    <w:rsid w:val="25A6DA54"/>
    <w:rsid w:val="25AFC1D8"/>
    <w:rsid w:val="25B11033"/>
    <w:rsid w:val="25B2651A"/>
    <w:rsid w:val="25C2455A"/>
    <w:rsid w:val="25D78CBF"/>
    <w:rsid w:val="25D7FCFF"/>
    <w:rsid w:val="25E1E305"/>
    <w:rsid w:val="25E9FF06"/>
    <w:rsid w:val="25F73DAD"/>
    <w:rsid w:val="25F7735C"/>
    <w:rsid w:val="25FA30E0"/>
    <w:rsid w:val="26071221"/>
    <w:rsid w:val="260CB45F"/>
    <w:rsid w:val="26113C6A"/>
    <w:rsid w:val="2618D1B4"/>
    <w:rsid w:val="2621D4FD"/>
    <w:rsid w:val="262E0981"/>
    <w:rsid w:val="26332B21"/>
    <w:rsid w:val="26461F4D"/>
    <w:rsid w:val="264C2A27"/>
    <w:rsid w:val="264E26DF"/>
    <w:rsid w:val="265F89D8"/>
    <w:rsid w:val="266BE6C0"/>
    <w:rsid w:val="267676E2"/>
    <w:rsid w:val="26782E47"/>
    <w:rsid w:val="26A1F6AA"/>
    <w:rsid w:val="26AAEFAA"/>
    <w:rsid w:val="26AD941D"/>
    <w:rsid w:val="26B6FA10"/>
    <w:rsid w:val="26C5CAE5"/>
    <w:rsid w:val="26C60CD4"/>
    <w:rsid w:val="26CFA4A9"/>
    <w:rsid w:val="27408B73"/>
    <w:rsid w:val="2749FECC"/>
    <w:rsid w:val="275CC437"/>
    <w:rsid w:val="27624FAD"/>
    <w:rsid w:val="277456FC"/>
    <w:rsid w:val="2776250C"/>
    <w:rsid w:val="278C9E6F"/>
    <w:rsid w:val="2795105A"/>
    <w:rsid w:val="27CC9353"/>
    <w:rsid w:val="27DB393A"/>
    <w:rsid w:val="27F33017"/>
    <w:rsid w:val="27F55DD4"/>
    <w:rsid w:val="27FC8D8F"/>
    <w:rsid w:val="27FFC8C8"/>
    <w:rsid w:val="2803A433"/>
    <w:rsid w:val="280E58AC"/>
    <w:rsid w:val="282562F4"/>
    <w:rsid w:val="282889AE"/>
    <w:rsid w:val="2847B16F"/>
    <w:rsid w:val="28486BC3"/>
    <w:rsid w:val="28755DCD"/>
    <w:rsid w:val="287A9814"/>
    <w:rsid w:val="289C1CB0"/>
    <w:rsid w:val="289CB1B3"/>
    <w:rsid w:val="28B9D418"/>
    <w:rsid w:val="28C0B122"/>
    <w:rsid w:val="28D5B080"/>
    <w:rsid w:val="28D75B56"/>
    <w:rsid w:val="28DAFEE8"/>
    <w:rsid w:val="28F09E83"/>
    <w:rsid w:val="28F5C77F"/>
    <w:rsid w:val="2911459F"/>
    <w:rsid w:val="291E4DBC"/>
    <w:rsid w:val="292AF407"/>
    <w:rsid w:val="294FDDA7"/>
    <w:rsid w:val="2975BBAC"/>
    <w:rsid w:val="298FFDFF"/>
    <w:rsid w:val="29A12543"/>
    <w:rsid w:val="29A18143"/>
    <w:rsid w:val="29A513D9"/>
    <w:rsid w:val="29AAD4B4"/>
    <w:rsid w:val="29ABD32E"/>
    <w:rsid w:val="29C630D6"/>
    <w:rsid w:val="29C852E9"/>
    <w:rsid w:val="29D102BB"/>
    <w:rsid w:val="29D3CBAF"/>
    <w:rsid w:val="29F15B97"/>
    <w:rsid w:val="29FC97D5"/>
    <w:rsid w:val="2A12FCCC"/>
    <w:rsid w:val="2A1B0466"/>
    <w:rsid w:val="2A20D7DD"/>
    <w:rsid w:val="2A2387C5"/>
    <w:rsid w:val="2A23D40A"/>
    <w:rsid w:val="2A2534CE"/>
    <w:rsid w:val="2A32BD5F"/>
    <w:rsid w:val="2A418468"/>
    <w:rsid w:val="2A43D86A"/>
    <w:rsid w:val="2A561C44"/>
    <w:rsid w:val="2A696065"/>
    <w:rsid w:val="2A6C6CF7"/>
    <w:rsid w:val="2A6D9684"/>
    <w:rsid w:val="2A6F5796"/>
    <w:rsid w:val="2A7221A4"/>
    <w:rsid w:val="2A7FB1B6"/>
    <w:rsid w:val="2A842185"/>
    <w:rsid w:val="2AA5A9F4"/>
    <w:rsid w:val="2AB67784"/>
    <w:rsid w:val="2ABF01EA"/>
    <w:rsid w:val="2AC74893"/>
    <w:rsid w:val="2ADAB808"/>
    <w:rsid w:val="2AE7404A"/>
    <w:rsid w:val="2AE8053E"/>
    <w:rsid w:val="2AEA6D5F"/>
    <w:rsid w:val="2AF07596"/>
    <w:rsid w:val="2AF7FE50"/>
    <w:rsid w:val="2B00B9D6"/>
    <w:rsid w:val="2B0E8226"/>
    <w:rsid w:val="2B0F24D6"/>
    <w:rsid w:val="2B17A90D"/>
    <w:rsid w:val="2B1FAC3E"/>
    <w:rsid w:val="2B28BFBD"/>
    <w:rsid w:val="2B2F4640"/>
    <w:rsid w:val="2B362E83"/>
    <w:rsid w:val="2B436F3C"/>
    <w:rsid w:val="2B4A98ED"/>
    <w:rsid w:val="2B500EE7"/>
    <w:rsid w:val="2B5D4F12"/>
    <w:rsid w:val="2B5DE366"/>
    <w:rsid w:val="2B640EEC"/>
    <w:rsid w:val="2B74E9AA"/>
    <w:rsid w:val="2B752998"/>
    <w:rsid w:val="2B78EC73"/>
    <w:rsid w:val="2B809CE8"/>
    <w:rsid w:val="2BA04387"/>
    <w:rsid w:val="2BA252DE"/>
    <w:rsid w:val="2BA34580"/>
    <w:rsid w:val="2BB4E906"/>
    <w:rsid w:val="2BE647CF"/>
    <w:rsid w:val="2BEC9551"/>
    <w:rsid w:val="2BF3A420"/>
    <w:rsid w:val="2C0A79D0"/>
    <w:rsid w:val="2C11EA6F"/>
    <w:rsid w:val="2C1FF1E6"/>
    <w:rsid w:val="2C2703F7"/>
    <w:rsid w:val="2C2DAB73"/>
    <w:rsid w:val="2C3408DA"/>
    <w:rsid w:val="2C602662"/>
    <w:rsid w:val="2C74732A"/>
    <w:rsid w:val="2C996D31"/>
    <w:rsid w:val="2CD8A052"/>
    <w:rsid w:val="2CEF5049"/>
    <w:rsid w:val="2CF1544E"/>
    <w:rsid w:val="2CF21850"/>
    <w:rsid w:val="2CFCD637"/>
    <w:rsid w:val="2CFDE8DC"/>
    <w:rsid w:val="2D007106"/>
    <w:rsid w:val="2D1FE877"/>
    <w:rsid w:val="2D20B43E"/>
    <w:rsid w:val="2D2594BD"/>
    <w:rsid w:val="2D2FB0D0"/>
    <w:rsid w:val="2D32FB40"/>
    <w:rsid w:val="2D3FA16F"/>
    <w:rsid w:val="2D4B5255"/>
    <w:rsid w:val="2D5066B6"/>
    <w:rsid w:val="2D61D834"/>
    <w:rsid w:val="2D94EA09"/>
    <w:rsid w:val="2D9780FA"/>
    <w:rsid w:val="2D9E66F2"/>
    <w:rsid w:val="2DABCF36"/>
    <w:rsid w:val="2DBF87FD"/>
    <w:rsid w:val="2DC3C346"/>
    <w:rsid w:val="2DC41B23"/>
    <w:rsid w:val="2DDF2860"/>
    <w:rsid w:val="2DE2D2F2"/>
    <w:rsid w:val="2DE4C380"/>
    <w:rsid w:val="2E091B85"/>
    <w:rsid w:val="2E1768B3"/>
    <w:rsid w:val="2E2EBACE"/>
    <w:rsid w:val="2E4D7F46"/>
    <w:rsid w:val="2E58F568"/>
    <w:rsid w:val="2E73916B"/>
    <w:rsid w:val="2E8DE8B1"/>
    <w:rsid w:val="2EA57A01"/>
    <w:rsid w:val="2EA92B61"/>
    <w:rsid w:val="2EA940DF"/>
    <w:rsid w:val="2EB6E09B"/>
    <w:rsid w:val="2EB96958"/>
    <w:rsid w:val="2EBECE22"/>
    <w:rsid w:val="2EDDBC6A"/>
    <w:rsid w:val="2EF4F823"/>
    <w:rsid w:val="2F0ACA3F"/>
    <w:rsid w:val="2F1E2D78"/>
    <w:rsid w:val="2F2A1224"/>
    <w:rsid w:val="2F4EBE51"/>
    <w:rsid w:val="2F4F1E7C"/>
    <w:rsid w:val="2F520114"/>
    <w:rsid w:val="2F577132"/>
    <w:rsid w:val="2F5AC5D5"/>
    <w:rsid w:val="2F5B0A2E"/>
    <w:rsid w:val="2F7C8C5D"/>
    <w:rsid w:val="2F81C2F1"/>
    <w:rsid w:val="2F835E37"/>
    <w:rsid w:val="2F921D2D"/>
    <w:rsid w:val="2F969A89"/>
    <w:rsid w:val="2FBEA875"/>
    <w:rsid w:val="2FD3E9B1"/>
    <w:rsid w:val="2FDB4258"/>
    <w:rsid w:val="2FDDA2F2"/>
    <w:rsid w:val="2FEADB0F"/>
    <w:rsid w:val="2FEEAF54"/>
    <w:rsid w:val="300235D7"/>
    <w:rsid w:val="30128B2A"/>
    <w:rsid w:val="30279E7C"/>
    <w:rsid w:val="303A00FB"/>
    <w:rsid w:val="303F7690"/>
    <w:rsid w:val="3041C5A8"/>
    <w:rsid w:val="3047BAA8"/>
    <w:rsid w:val="3049EF4F"/>
    <w:rsid w:val="305FED37"/>
    <w:rsid w:val="306AC58F"/>
    <w:rsid w:val="3080316D"/>
    <w:rsid w:val="30869FE5"/>
    <w:rsid w:val="308D9E56"/>
    <w:rsid w:val="30965B14"/>
    <w:rsid w:val="30A03462"/>
    <w:rsid w:val="30CEFA2E"/>
    <w:rsid w:val="30CFF707"/>
    <w:rsid w:val="30E0EEC0"/>
    <w:rsid w:val="30E33E66"/>
    <w:rsid w:val="30ED8EC8"/>
    <w:rsid w:val="3116931D"/>
    <w:rsid w:val="311E56EA"/>
    <w:rsid w:val="312A9C23"/>
    <w:rsid w:val="31477B5A"/>
    <w:rsid w:val="316B663A"/>
    <w:rsid w:val="316B886C"/>
    <w:rsid w:val="319DCFA9"/>
    <w:rsid w:val="31BF980A"/>
    <w:rsid w:val="31CE983C"/>
    <w:rsid w:val="31CF437D"/>
    <w:rsid w:val="31DC973A"/>
    <w:rsid w:val="31E2E042"/>
    <w:rsid w:val="31E58E48"/>
    <w:rsid w:val="31FA722B"/>
    <w:rsid w:val="32097063"/>
    <w:rsid w:val="32218741"/>
    <w:rsid w:val="32227046"/>
    <w:rsid w:val="3226F1EC"/>
    <w:rsid w:val="323DBC7F"/>
    <w:rsid w:val="325A2FD5"/>
    <w:rsid w:val="326D1DD6"/>
    <w:rsid w:val="327008EF"/>
    <w:rsid w:val="3273E2AD"/>
    <w:rsid w:val="327B6677"/>
    <w:rsid w:val="327E0825"/>
    <w:rsid w:val="328D70D2"/>
    <w:rsid w:val="3294C917"/>
    <w:rsid w:val="329D8779"/>
    <w:rsid w:val="32AF6734"/>
    <w:rsid w:val="32AF9289"/>
    <w:rsid w:val="32B7B448"/>
    <w:rsid w:val="32BF820F"/>
    <w:rsid w:val="32C652EB"/>
    <w:rsid w:val="32E0D483"/>
    <w:rsid w:val="32F5A343"/>
    <w:rsid w:val="32F6D8E9"/>
    <w:rsid w:val="33031880"/>
    <w:rsid w:val="330811C6"/>
    <w:rsid w:val="33130C78"/>
    <w:rsid w:val="331F3519"/>
    <w:rsid w:val="332D3FD6"/>
    <w:rsid w:val="3331C1D6"/>
    <w:rsid w:val="3337687B"/>
    <w:rsid w:val="33432582"/>
    <w:rsid w:val="336159D4"/>
    <w:rsid w:val="3361F615"/>
    <w:rsid w:val="3367BF9C"/>
    <w:rsid w:val="337D8124"/>
    <w:rsid w:val="33869E36"/>
    <w:rsid w:val="3389C99B"/>
    <w:rsid w:val="338C5229"/>
    <w:rsid w:val="338FA29E"/>
    <w:rsid w:val="33A360BC"/>
    <w:rsid w:val="33A44009"/>
    <w:rsid w:val="33C86064"/>
    <w:rsid w:val="33D8630C"/>
    <w:rsid w:val="33E4DA54"/>
    <w:rsid w:val="33EC7053"/>
    <w:rsid w:val="33F05A32"/>
    <w:rsid w:val="33FB26F4"/>
    <w:rsid w:val="33FDD9C6"/>
    <w:rsid w:val="33FEFF79"/>
    <w:rsid w:val="34334CE3"/>
    <w:rsid w:val="34598DFE"/>
    <w:rsid w:val="3462E054"/>
    <w:rsid w:val="34680E2F"/>
    <w:rsid w:val="3472AC64"/>
    <w:rsid w:val="34741B88"/>
    <w:rsid w:val="3476922E"/>
    <w:rsid w:val="3490280E"/>
    <w:rsid w:val="34A30D97"/>
    <w:rsid w:val="34AE1167"/>
    <w:rsid w:val="34AF82D6"/>
    <w:rsid w:val="34BF030C"/>
    <w:rsid w:val="34C6FAE8"/>
    <w:rsid w:val="34D03925"/>
    <w:rsid w:val="34DB466F"/>
    <w:rsid w:val="34DEDDB2"/>
    <w:rsid w:val="34F3EC18"/>
    <w:rsid w:val="34F633C6"/>
    <w:rsid w:val="34F9F4EF"/>
    <w:rsid w:val="35037DE5"/>
    <w:rsid w:val="351B4F75"/>
    <w:rsid w:val="35240629"/>
    <w:rsid w:val="352FF6BF"/>
    <w:rsid w:val="35395AFA"/>
    <w:rsid w:val="353BB21A"/>
    <w:rsid w:val="3557FFFB"/>
    <w:rsid w:val="355AF723"/>
    <w:rsid w:val="3562EF4E"/>
    <w:rsid w:val="356A326E"/>
    <w:rsid w:val="356CC7F0"/>
    <w:rsid w:val="3570E2A8"/>
    <w:rsid w:val="357FEF77"/>
    <w:rsid w:val="35975485"/>
    <w:rsid w:val="359EEFEB"/>
    <w:rsid w:val="35AF442B"/>
    <w:rsid w:val="35B674D8"/>
    <w:rsid w:val="35C64D86"/>
    <w:rsid w:val="35CB4DA4"/>
    <w:rsid w:val="35CCF7DB"/>
    <w:rsid w:val="35D5DE67"/>
    <w:rsid w:val="35D85108"/>
    <w:rsid w:val="35DD5011"/>
    <w:rsid w:val="35ED40D6"/>
    <w:rsid w:val="35FDCBE2"/>
    <w:rsid w:val="3607DA30"/>
    <w:rsid w:val="361042CD"/>
    <w:rsid w:val="3617691B"/>
    <w:rsid w:val="361DFF09"/>
    <w:rsid w:val="36219D16"/>
    <w:rsid w:val="363EA629"/>
    <w:rsid w:val="3640540C"/>
    <w:rsid w:val="36536C2B"/>
    <w:rsid w:val="3654A95F"/>
    <w:rsid w:val="366AAB94"/>
    <w:rsid w:val="368C4B9A"/>
    <w:rsid w:val="36955AE4"/>
    <w:rsid w:val="3698E255"/>
    <w:rsid w:val="36A2C90C"/>
    <w:rsid w:val="36B16E30"/>
    <w:rsid w:val="36B4C691"/>
    <w:rsid w:val="36D80297"/>
    <w:rsid w:val="36D9B7BE"/>
    <w:rsid w:val="36E26F3A"/>
    <w:rsid w:val="36EAB09E"/>
    <w:rsid w:val="36EB2972"/>
    <w:rsid w:val="36F1B289"/>
    <w:rsid w:val="36F2A56B"/>
    <w:rsid w:val="370092D4"/>
    <w:rsid w:val="37024D0C"/>
    <w:rsid w:val="37026DE3"/>
    <w:rsid w:val="371B423F"/>
    <w:rsid w:val="371C1B4C"/>
    <w:rsid w:val="37329E93"/>
    <w:rsid w:val="3741FDD5"/>
    <w:rsid w:val="3746CC07"/>
    <w:rsid w:val="3748F58A"/>
    <w:rsid w:val="374920EB"/>
    <w:rsid w:val="374D2240"/>
    <w:rsid w:val="374F8F2B"/>
    <w:rsid w:val="377092FA"/>
    <w:rsid w:val="378406B5"/>
    <w:rsid w:val="37888411"/>
    <w:rsid w:val="378AE43B"/>
    <w:rsid w:val="378C84B5"/>
    <w:rsid w:val="3794BE04"/>
    <w:rsid w:val="379A7D1C"/>
    <w:rsid w:val="37B2533E"/>
    <w:rsid w:val="37D53733"/>
    <w:rsid w:val="37F4D559"/>
    <w:rsid w:val="37FAF990"/>
    <w:rsid w:val="38022231"/>
    <w:rsid w:val="38033DFD"/>
    <w:rsid w:val="3814C473"/>
    <w:rsid w:val="382B87EA"/>
    <w:rsid w:val="382C7D46"/>
    <w:rsid w:val="383457C6"/>
    <w:rsid w:val="3834CAF7"/>
    <w:rsid w:val="38369936"/>
    <w:rsid w:val="383898E2"/>
    <w:rsid w:val="385122CE"/>
    <w:rsid w:val="385B7253"/>
    <w:rsid w:val="386741D1"/>
    <w:rsid w:val="386C7DE3"/>
    <w:rsid w:val="386CC4DC"/>
    <w:rsid w:val="386F8101"/>
    <w:rsid w:val="38767482"/>
    <w:rsid w:val="387B0FD4"/>
    <w:rsid w:val="388AA1FF"/>
    <w:rsid w:val="38934462"/>
    <w:rsid w:val="3895660F"/>
    <w:rsid w:val="38980AF6"/>
    <w:rsid w:val="38AC996C"/>
    <w:rsid w:val="38B6125F"/>
    <w:rsid w:val="38B706D2"/>
    <w:rsid w:val="38D31ADB"/>
    <w:rsid w:val="38D92CCA"/>
    <w:rsid w:val="38F2F85C"/>
    <w:rsid w:val="3921A2EC"/>
    <w:rsid w:val="3921EFA3"/>
    <w:rsid w:val="3932470D"/>
    <w:rsid w:val="393B7E1B"/>
    <w:rsid w:val="394818C3"/>
    <w:rsid w:val="39690249"/>
    <w:rsid w:val="39692E87"/>
    <w:rsid w:val="396BD6D3"/>
    <w:rsid w:val="399295D0"/>
    <w:rsid w:val="399C3AFB"/>
    <w:rsid w:val="399E95F6"/>
    <w:rsid w:val="39ACF2E3"/>
    <w:rsid w:val="39B9EA48"/>
    <w:rsid w:val="39C1BED2"/>
    <w:rsid w:val="39C9A4E9"/>
    <w:rsid w:val="39F4E6E6"/>
    <w:rsid w:val="39F83FD1"/>
    <w:rsid w:val="39FBBCDB"/>
    <w:rsid w:val="3A1C4659"/>
    <w:rsid w:val="3A1E6872"/>
    <w:rsid w:val="3A22DAC8"/>
    <w:rsid w:val="3A253EFA"/>
    <w:rsid w:val="3A3D285C"/>
    <w:rsid w:val="3A41456A"/>
    <w:rsid w:val="3A493BDE"/>
    <w:rsid w:val="3A531DD4"/>
    <w:rsid w:val="3A5391A7"/>
    <w:rsid w:val="3A5C90F6"/>
    <w:rsid w:val="3A765309"/>
    <w:rsid w:val="3A8F20E7"/>
    <w:rsid w:val="3A9B9D34"/>
    <w:rsid w:val="3AA207ED"/>
    <w:rsid w:val="3AAC6741"/>
    <w:rsid w:val="3AAFFBA0"/>
    <w:rsid w:val="3AB3AB15"/>
    <w:rsid w:val="3ADF9BE0"/>
    <w:rsid w:val="3AEF981F"/>
    <w:rsid w:val="3B0FF178"/>
    <w:rsid w:val="3B11C132"/>
    <w:rsid w:val="3B1C17C9"/>
    <w:rsid w:val="3B48C344"/>
    <w:rsid w:val="3B4A66F3"/>
    <w:rsid w:val="3B51BDC8"/>
    <w:rsid w:val="3B60CA10"/>
    <w:rsid w:val="3B65754A"/>
    <w:rsid w:val="3B6BA26B"/>
    <w:rsid w:val="3B8C909F"/>
    <w:rsid w:val="3BA9493E"/>
    <w:rsid w:val="3BADDE8A"/>
    <w:rsid w:val="3BB842A9"/>
    <w:rsid w:val="3BC1182E"/>
    <w:rsid w:val="3BCA4ED9"/>
    <w:rsid w:val="3BCA5A2A"/>
    <w:rsid w:val="3BD96322"/>
    <w:rsid w:val="3BF0F856"/>
    <w:rsid w:val="3BF4CEB2"/>
    <w:rsid w:val="3C07234A"/>
    <w:rsid w:val="3C1C5EDD"/>
    <w:rsid w:val="3C1F8B6F"/>
    <w:rsid w:val="3C4425FF"/>
    <w:rsid w:val="3C46FD8B"/>
    <w:rsid w:val="3C686669"/>
    <w:rsid w:val="3C769EC5"/>
    <w:rsid w:val="3C808D7B"/>
    <w:rsid w:val="3C832062"/>
    <w:rsid w:val="3C8C8044"/>
    <w:rsid w:val="3C8E36B5"/>
    <w:rsid w:val="3C92BD1A"/>
    <w:rsid w:val="3C963B38"/>
    <w:rsid w:val="3CB07F26"/>
    <w:rsid w:val="3CBB31DB"/>
    <w:rsid w:val="3CBBBF7E"/>
    <w:rsid w:val="3CD84724"/>
    <w:rsid w:val="3D04D6F4"/>
    <w:rsid w:val="3D081D4D"/>
    <w:rsid w:val="3D1DD23F"/>
    <w:rsid w:val="3D232341"/>
    <w:rsid w:val="3D27A3C8"/>
    <w:rsid w:val="3D356A2B"/>
    <w:rsid w:val="3D392EC8"/>
    <w:rsid w:val="3D523792"/>
    <w:rsid w:val="3D583788"/>
    <w:rsid w:val="3D5CF1EE"/>
    <w:rsid w:val="3D6CB3FC"/>
    <w:rsid w:val="3D729447"/>
    <w:rsid w:val="3D764046"/>
    <w:rsid w:val="3D8BAA6B"/>
    <w:rsid w:val="3D96A1D3"/>
    <w:rsid w:val="3DA88A8E"/>
    <w:rsid w:val="3DB48C91"/>
    <w:rsid w:val="3DD94B8E"/>
    <w:rsid w:val="3DDAC53F"/>
    <w:rsid w:val="3DDB5548"/>
    <w:rsid w:val="3DDEBC8B"/>
    <w:rsid w:val="3DEA1E04"/>
    <w:rsid w:val="3DFC62B5"/>
    <w:rsid w:val="3DFF062B"/>
    <w:rsid w:val="3E0AB5ED"/>
    <w:rsid w:val="3E0C4E21"/>
    <w:rsid w:val="3E295F58"/>
    <w:rsid w:val="3E305569"/>
    <w:rsid w:val="3E4994FD"/>
    <w:rsid w:val="3E6F08D7"/>
    <w:rsid w:val="3EAC685B"/>
    <w:rsid w:val="3EB2CBEC"/>
    <w:rsid w:val="3EC72DBA"/>
    <w:rsid w:val="3EC7A54B"/>
    <w:rsid w:val="3ECF989C"/>
    <w:rsid w:val="3EF03FDB"/>
    <w:rsid w:val="3EF3885D"/>
    <w:rsid w:val="3F140D2A"/>
    <w:rsid w:val="3F1EB5DD"/>
    <w:rsid w:val="3F1F8193"/>
    <w:rsid w:val="3F286045"/>
    <w:rsid w:val="3F375AE5"/>
    <w:rsid w:val="3F71D77C"/>
    <w:rsid w:val="3F829D1D"/>
    <w:rsid w:val="3F86A289"/>
    <w:rsid w:val="3FA88C1D"/>
    <w:rsid w:val="3FACBC20"/>
    <w:rsid w:val="3FAD21B0"/>
    <w:rsid w:val="3FB62225"/>
    <w:rsid w:val="3FBBB41B"/>
    <w:rsid w:val="3FCF3FE2"/>
    <w:rsid w:val="3FDE8C88"/>
    <w:rsid w:val="3FFC6708"/>
    <w:rsid w:val="4001E328"/>
    <w:rsid w:val="40105856"/>
    <w:rsid w:val="4014B0FC"/>
    <w:rsid w:val="401951CF"/>
    <w:rsid w:val="401DE2E7"/>
    <w:rsid w:val="402E8357"/>
    <w:rsid w:val="403EFA16"/>
    <w:rsid w:val="4055C65F"/>
    <w:rsid w:val="406085E4"/>
    <w:rsid w:val="4071AA7B"/>
    <w:rsid w:val="4091B40E"/>
    <w:rsid w:val="409E9C96"/>
    <w:rsid w:val="40A84015"/>
    <w:rsid w:val="40A93DB0"/>
    <w:rsid w:val="40B71EC1"/>
    <w:rsid w:val="40CFC160"/>
    <w:rsid w:val="40D1760E"/>
    <w:rsid w:val="40DF2D63"/>
    <w:rsid w:val="40E1E92B"/>
    <w:rsid w:val="40EED20D"/>
    <w:rsid w:val="40F852E6"/>
    <w:rsid w:val="40FAE793"/>
    <w:rsid w:val="40FF4551"/>
    <w:rsid w:val="4113251C"/>
    <w:rsid w:val="412480F2"/>
    <w:rsid w:val="413DFE77"/>
    <w:rsid w:val="4142489D"/>
    <w:rsid w:val="4143519D"/>
    <w:rsid w:val="4166A199"/>
    <w:rsid w:val="417146D3"/>
    <w:rsid w:val="417493B0"/>
    <w:rsid w:val="417CBAC5"/>
    <w:rsid w:val="4186148B"/>
    <w:rsid w:val="419948B7"/>
    <w:rsid w:val="419B7DDB"/>
    <w:rsid w:val="41A40DAD"/>
    <w:rsid w:val="41B0815D"/>
    <w:rsid w:val="41BF091A"/>
    <w:rsid w:val="41BFFFF0"/>
    <w:rsid w:val="41E22759"/>
    <w:rsid w:val="41FD894C"/>
    <w:rsid w:val="41FF8CEE"/>
    <w:rsid w:val="420C92AD"/>
    <w:rsid w:val="423B44B6"/>
    <w:rsid w:val="423F6892"/>
    <w:rsid w:val="4244079E"/>
    <w:rsid w:val="4265C444"/>
    <w:rsid w:val="42680957"/>
    <w:rsid w:val="42783C48"/>
    <w:rsid w:val="4279732D"/>
    <w:rsid w:val="427F7B26"/>
    <w:rsid w:val="428547C7"/>
    <w:rsid w:val="42A4D08E"/>
    <w:rsid w:val="42AB33A5"/>
    <w:rsid w:val="42BAC62A"/>
    <w:rsid w:val="42CBAD02"/>
    <w:rsid w:val="42D160FD"/>
    <w:rsid w:val="42E723DF"/>
    <w:rsid w:val="42E7BA50"/>
    <w:rsid w:val="42E81056"/>
    <w:rsid w:val="42E89B09"/>
    <w:rsid w:val="42EF0F25"/>
    <w:rsid w:val="42F072A6"/>
    <w:rsid w:val="42F2EA91"/>
    <w:rsid w:val="4300CA4B"/>
    <w:rsid w:val="4335CAB2"/>
    <w:rsid w:val="4341CF98"/>
    <w:rsid w:val="434647B3"/>
    <w:rsid w:val="434C1FAA"/>
    <w:rsid w:val="436EB3B1"/>
    <w:rsid w:val="4370D1C3"/>
    <w:rsid w:val="43803BBF"/>
    <w:rsid w:val="4381D7A3"/>
    <w:rsid w:val="4392A41A"/>
    <w:rsid w:val="43B0D331"/>
    <w:rsid w:val="43C34A85"/>
    <w:rsid w:val="43CD6A69"/>
    <w:rsid w:val="43E6DC56"/>
    <w:rsid w:val="43EF8321"/>
    <w:rsid w:val="44143879"/>
    <w:rsid w:val="44204E55"/>
    <w:rsid w:val="44316BE3"/>
    <w:rsid w:val="443677D3"/>
    <w:rsid w:val="4446ACC2"/>
    <w:rsid w:val="444DC0FC"/>
    <w:rsid w:val="44542F22"/>
    <w:rsid w:val="4456968B"/>
    <w:rsid w:val="4474B608"/>
    <w:rsid w:val="44762D50"/>
    <w:rsid w:val="4476B253"/>
    <w:rsid w:val="4476F044"/>
    <w:rsid w:val="4479AC52"/>
    <w:rsid w:val="447B101E"/>
    <w:rsid w:val="448756EC"/>
    <w:rsid w:val="4489AE0B"/>
    <w:rsid w:val="449EC66E"/>
    <w:rsid w:val="44AF4F49"/>
    <w:rsid w:val="44E3DEA9"/>
    <w:rsid w:val="44E5BF53"/>
    <w:rsid w:val="44F4B3DC"/>
    <w:rsid w:val="44FF55CC"/>
    <w:rsid w:val="451B1043"/>
    <w:rsid w:val="45274451"/>
    <w:rsid w:val="4562C046"/>
    <w:rsid w:val="4577B57C"/>
    <w:rsid w:val="457AAB84"/>
    <w:rsid w:val="4582984B"/>
    <w:rsid w:val="45967A70"/>
    <w:rsid w:val="4599A972"/>
    <w:rsid w:val="459A33BE"/>
    <w:rsid w:val="459BC80F"/>
    <w:rsid w:val="45B15F50"/>
    <w:rsid w:val="45BFCE1C"/>
    <w:rsid w:val="45C137E4"/>
    <w:rsid w:val="45CAC374"/>
    <w:rsid w:val="45D223A8"/>
    <w:rsid w:val="45EBF985"/>
    <w:rsid w:val="45EF0661"/>
    <w:rsid w:val="45FFC421"/>
    <w:rsid w:val="46003D0F"/>
    <w:rsid w:val="46072946"/>
    <w:rsid w:val="461637EA"/>
    <w:rsid w:val="4621E641"/>
    <w:rsid w:val="4636905B"/>
    <w:rsid w:val="463EEEF6"/>
    <w:rsid w:val="464AD4C2"/>
    <w:rsid w:val="46A179CA"/>
    <w:rsid w:val="46AE5269"/>
    <w:rsid w:val="46CC24AC"/>
    <w:rsid w:val="46CC2DDD"/>
    <w:rsid w:val="46D75FEF"/>
    <w:rsid w:val="46E05D84"/>
    <w:rsid w:val="46E322DD"/>
    <w:rsid w:val="46F0415B"/>
    <w:rsid w:val="46F1F1E0"/>
    <w:rsid w:val="46F21D11"/>
    <w:rsid w:val="46F7C8CC"/>
    <w:rsid w:val="47171E46"/>
    <w:rsid w:val="472733EC"/>
    <w:rsid w:val="4746A603"/>
    <w:rsid w:val="47487D57"/>
    <w:rsid w:val="474B144B"/>
    <w:rsid w:val="474C0BD8"/>
    <w:rsid w:val="474C220D"/>
    <w:rsid w:val="474DD6F2"/>
    <w:rsid w:val="475A73EB"/>
    <w:rsid w:val="477841B1"/>
    <w:rsid w:val="479AB4D6"/>
    <w:rsid w:val="47A1B3E2"/>
    <w:rsid w:val="47AF627E"/>
    <w:rsid w:val="47B41411"/>
    <w:rsid w:val="47B80F35"/>
    <w:rsid w:val="47BAD0FF"/>
    <w:rsid w:val="47BE2403"/>
    <w:rsid w:val="47CE59DE"/>
    <w:rsid w:val="47DCAD85"/>
    <w:rsid w:val="47DE643F"/>
    <w:rsid w:val="47E0725D"/>
    <w:rsid w:val="47EC5F6A"/>
    <w:rsid w:val="47ED9E3A"/>
    <w:rsid w:val="48008041"/>
    <w:rsid w:val="480F035A"/>
    <w:rsid w:val="481FB7A7"/>
    <w:rsid w:val="482F9A90"/>
    <w:rsid w:val="485ADBA7"/>
    <w:rsid w:val="4860B86D"/>
    <w:rsid w:val="487E00B6"/>
    <w:rsid w:val="488C654F"/>
    <w:rsid w:val="4898081F"/>
    <w:rsid w:val="48A8D932"/>
    <w:rsid w:val="48BC85C7"/>
    <w:rsid w:val="48C2D151"/>
    <w:rsid w:val="48CD7AC7"/>
    <w:rsid w:val="48ED3136"/>
    <w:rsid w:val="48ED753B"/>
    <w:rsid w:val="48F2D438"/>
    <w:rsid w:val="48F3C240"/>
    <w:rsid w:val="49069D98"/>
    <w:rsid w:val="492B9606"/>
    <w:rsid w:val="49397A97"/>
    <w:rsid w:val="493C971E"/>
    <w:rsid w:val="4940CC07"/>
    <w:rsid w:val="4949DB33"/>
    <w:rsid w:val="4949E3D1"/>
    <w:rsid w:val="494D334A"/>
    <w:rsid w:val="494E34F1"/>
    <w:rsid w:val="495A4CE5"/>
    <w:rsid w:val="495E3151"/>
    <w:rsid w:val="496DCC47"/>
    <w:rsid w:val="497FFFB8"/>
    <w:rsid w:val="4993BF96"/>
    <w:rsid w:val="49949E15"/>
    <w:rsid w:val="499A8A08"/>
    <w:rsid w:val="499C6E01"/>
    <w:rsid w:val="49A7C532"/>
    <w:rsid w:val="49B31F87"/>
    <w:rsid w:val="49C0EA45"/>
    <w:rsid w:val="49DC039D"/>
    <w:rsid w:val="49E45F00"/>
    <w:rsid w:val="49F87FB6"/>
    <w:rsid w:val="49F8BE05"/>
    <w:rsid w:val="4A08DF4B"/>
    <w:rsid w:val="4A32A62A"/>
    <w:rsid w:val="4A49568B"/>
    <w:rsid w:val="4AA4B26B"/>
    <w:rsid w:val="4ABCAC37"/>
    <w:rsid w:val="4ABF3F22"/>
    <w:rsid w:val="4AD123FD"/>
    <w:rsid w:val="4AFCC673"/>
    <w:rsid w:val="4B00E079"/>
    <w:rsid w:val="4B0AA6A2"/>
    <w:rsid w:val="4B247A0E"/>
    <w:rsid w:val="4B3DB55F"/>
    <w:rsid w:val="4B4C7B98"/>
    <w:rsid w:val="4B4F9A2D"/>
    <w:rsid w:val="4B617C12"/>
    <w:rsid w:val="4B6B969E"/>
    <w:rsid w:val="4B6E1AFF"/>
    <w:rsid w:val="4B72651A"/>
    <w:rsid w:val="4B7661AD"/>
    <w:rsid w:val="4B7DED7C"/>
    <w:rsid w:val="4B8A7D09"/>
    <w:rsid w:val="4B95BEB5"/>
    <w:rsid w:val="4B9E0438"/>
    <w:rsid w:val="4BA67C5B"/>
    <w:rsid w:val="4BAD6FB3"/>
    <w:rsid w:val="4BB1478E"/>
    <w:rsid w:val="4BD7765D"/>
    <w:rsid w:val="4BDEDEED"/>
    <w:rsid w:val="4BF472BC"/>
    <w:rsid w:val="4BF5C1A1"/>
    <w:rsid w:val="4C00637D"/>
    <w:rsid w:val="4C0184A0"/>
    <w:rsid w:val="4C185B16"/>
    <w:rsid w:val="4C2A4C73"/>
    <w:rsid w:val="4C447C34"/>
    <w:rsid w:val="4C5E0C89"/>
    <w:rsid w:val="4C609714"/>
    <w:rsid w:val="4C6A5671"/>
    <w:rsid w:val="4C6CA452"/>
    <w:rsid w:val="4C6FAF7B"/>
    <w:rsid w:val="4C7437E0"/>
    <w:rsid w:val="4C855D29"/>
    <w:rsid w:val="4C94BF3C"/>
    <w:rsid w:val="4C952013"/>
    <w:rsid w:val="4C9E6630"/>
    <w:rsid w:val="4CB365B8"/>
    <w:rsid w:val="4CD008C5"/>
    <w:rsid w:val="4CE2A170"/>
    <w:rsid w:val="4CED2F17"/>
    <w:rsid w:val="4CED9F41"/>
    <w:rsid w:val="4CF85A8A"/>
    <w:rsid w:val="4D3E55C9"/>
    <w:rsid w:val="4D4A35A6"/>
    <w:rsid w:val="4D545EC4"/>
    <w:rsid w:val="4D5D49D1"/>
    <w:rsid w:val="4D612678"/>
    <w:rsid w:val="4D6885DD"/>
    <w:rsid w:val="4D855819"/>
    <w:rsid w:val="4DA713BF"/>
    <w:rsid w:val="4DB0267F"/>
    <w:rsid w:val="4DBE6169"/>
    <w:rsid w:val="4DC4CF23"/>
    <w:rsid w:val="4DCB079A"/>
    <w:rsid w:val="4DDDF239"/>
    <w:rsid w:val="4DE83584"/>
    <w:rsid w:val="4DEE0216"/>
    <w:rsid w:val="4DEE8D14"/>
    <w:rsid w:val="4DF966CC"/>
    <w:rsid w:val="4DFE4E79"/>
    <w:rsid w:val="4E0543C9"/>
    <w:rsid w:val="4E10FAEA"/>
    <w:rsid w:val="4E1E944F"/>
    <w:rsid w:val="4E270E5D"/>
    <w:rsid w:val="4E301C4C"/>
    <w:rsid w:val="4E3A7FFB"/>
    <w:rsid w:val="4E3C5605"/>
    <w:rsid w:val="4E3D23B9"/>
    <w:rsid w:val="4E5CDFBE"/>
    <w:rsid w:val="4E624F94"/>
    <w:rsid w:val="4E82F8B3"/>
    <w:rsid w:val="4E9A0733"/>
    <w:rsid w:val="4E9EDD15"/>
    <w:rsid w:val="4EA7EFFB"/>
    <w:rsid w:val="4EB9D01A"/>
    <w:rsid w:val="4EDB3E2E"/>
    <w:rsid w:val="4EEC6AF2"/>
    <w:rsid w:val="4F0D6F2C"/>
    <w:rsid w:val="4F220B00"/>
    <w:rsid w:val="4F3580C5"/>
    <w:rsid w:val="4F3C1315"/>
    <w:rsid w:val="4F517A58"/>
    <w:rsid w:val="4F7DFF97"/>
    <w:rsid w:val="4F853F62"/>
    <w:rsid w:val="4F883A32"/>
    <w:rsid w:val="4F8DDE30"/>
    <w:rsid w:val="4FC35039"/>
    <w:rsid w:val="4FDA93CA"/>
    <w:rsid w:val="4FF0A750"/>
    <w:rsid w:val="4FF1B1AE"/>
    <w:rsid w:val="5005BE11"/>
    <w:rsid w:val="500FFF4B"/>
    <w:rsid w:val="50161C28"/>
    <w:rsid w:val="501706B6"/>
    <w:rsid w:val="5062FE87"/>
    <w:rsid w:val="50704D03"/>
    <w:rsid w:val="50720E48"/>
    <w:rsid w:val="507A6C7F"/>
    <w:rsid w:val="507FBA7F"/>
    <w:rsid w:val="50A25E5E"/>
    <w:rsid w:val="50A63F2A"/>
    <w:rsid w:val="50B728B7"/>
    <w:rsid w:val="50B736A1"/>
    <w:rsid w:val="50C29B7F"/>
    <w:rsid w:val="50D23225"/>
    <w:rsid w:val="50DAC480"/>
    <w:rsid w:val="50FBA2D2"/>
    <w:rsid w:val="50FBDEDB"/>
    <w:rsid w:val="51013D4D"/>
    <w:rsid w:val="5107CADB"/>
    <w:rsid w:val="511174E4"/>
    <w:rsid w:val="511D3D6D"/>
    <w:rsid w:val="5128D68E"/>
    <w:rsid w:val="512EDC20"/>
    <w:rsid w:val="51325310"/>
    <w:rsid w:val="51422AA1"/>
    <w:rsid w:val="51480F22"/>
    <w:rsid w:val="515034D4"/>
    <w:rsid w:val="5150F558"/>
    <w:rsid w:val="51563A43"/>
    <w:rsid w:val="51641725"/>
    <w:rsid w:val="516C9D59"/>
    <w:rsid w:val="51719E2D"/>
    <w:rsid w:val="51888E0D"/>
    <w:rsid w:val="518DE080"/>
    <w:rsid w:val="5192A15C"/>
    <w:rsid w:val="51948492"/>
    <w:rsid w:val="51AAE213"/>
    <w:rsid w:val="51B8D5A4"/>
    <w:rsid w:val="51CA7A87"/>
    <w:rsid w:val="51D8DCEF"/>
    <w:rsid w:val="51E3CD02"/>
    <w:rsid w:val="51F9ADB7"/>
    <w:rsid w:val="5205BB9F"/>
    <w:rsid w:val="5235D06C"/>
    <w:rsid w:val="523D0BC7"/>
    <w:rsid w:val="523DDE4F"/>
    <w:rsid w:val="524283EB"/>
    <w:rsid w:val="52586E1A"/>
    <w:rsid w:val="5258CA91"/>
    <w:rsid w:val="525FD9EB"/>
    <w:rsid w:val="5265ADF5"/>
    <w:rsid w:val="526DA860"/>
    <w:rsid w:val="5273E062"/>
    <w:rsid w:val="527B4951"/>
    <w:rsid w:val="528466AD"/>
    <w:rsid w:val="52901B1A"/>
    <w:rsid w:val="529B02CD"/>
    <w:rsid w:val="529E8D71"/>
    <w:rsid w:val="52A6DAA0"/>
    <w:rsid w:val="52D84F2F"/>
    <w:rsid w:val="52F8BB8B"/>
    <w:rsid w:val="53039735"/>
    <w:rsid w:val="530A382D"/>
    <w:rsid w:val="53102A13"/>
    <w:rsid w:val="5314FE70"/>
    <w:rsid w:val="53271486"/>
    <w:rsid w:val="53295270"/>
    <w:rsid w:val="533727EE"/>
    <w:rsid w:val="533D611D"/>
    <w:rsid w:val="533E8E96"/>
    <w:rsid w:val="53443581"/>
    <w:rsid w:val="5351C6EF"/>
    <w:rsid w:val="536538A9"/>
    <w:rsid w:val="5366F8A3"/>
    <w:rsid w:val="53833692"/>
    <w:rsid w:val="538505EC"/>
    <w:rsid w:val="5394F628"/>
    <w:rsid w:val="53A18EF2"/>
    <w:rsid w:val="53B2ECE7"/>
    <w:rsid w:val="53D825B4"/>
    <w:rsid w:val="53E3FED9"/>
    <w:rsid w:val="53FD17CE"/>
    <w:rsid w:val="53FE6FA5"/>
    <w:rsid w:val="5431727F"/>
    <w:rsid w:val="54338C99"/>
    <w:rsid w:val="543A491E"/>
    <w:rsid w:val="543C0F86"/>
    <w:rsid w:val="54422A35"/>
    <w:rsid w:val="546A3228"/>
    <w:rsid w:val="546F1876"/>
    <w:rsid w:val="547C88BF"/>
    <w:rsid w:val="548CD038"/>
    <w:rsid w:val="549D3A79"/>
    <w:rsid w:val="54AD69D0"/>
    <w:rsid w:val="54B3106F"/>
    <w:rsid w:val="54B9E666"/>
    <w:rsid w:val="54C6EA9D"/>
    <w:rsid w:val="54CAACFF"/>
    <w:rsid w:val="54CAEEF3"/>
    <w:rsid w:val="54CECF34"/>
    <w:rsid w:val="54D69B59"/>
    <w:rsid w:val="54D84A8E"/>
    <w:rsid w:val="54E1E3AF"/>
    <w:rsid w:val="54E5AA3E"/>
    <w:rsid w:val="54F36020"/>
    <w:rsid w:val="55135BB0"/>
    <w:rsid w:val="55155A59"/>
    <w:rsid w:val="55219DCD"/>
    <w:rsid w:val="5526381E"/>
    <w:rsid w:val="552F9F51"/>
    <w:rsid w:val="5535A49C"/>
    <w:rsid w:val="55388BFA"/>
    <w:rsid w:val="553C86CB"/>
    <w:rsid w:val="55701803"/>
    <w:rsid w:val="55849CBF"/>
    <w:rsid w:val="5584B4A7"/>
    <w:rsid w:val="55AA1FA1"/>
    <w:rsid w:val="55D72B90"/>
    <w:rsid w:val="55E063EA"/>
    <w:rsid w:val="55F298B0"/>
    <w:rsid w:val="55F3925E"/>
    <w:rsid w:val="55FF89EA"/>
    <w:rsid w:val="5607CFBF"/>
    <w:rsid w:val="5609522D"/>
    <w:rsid w:val="566FD041"/>
    <w:rsid w:val="567023D0"/>
    <w:rsid w:val="567BD28E"/>
    <w:rsid w:val="5680AB45"/>
    <w:rsid w:val="56861473"/>
    <w:rsid w:val="56A219B0"/>
    <w:rsid w:val="56B0FA00"/>
    <w:rsid w:val="56B1257A"/>
    <w:rsid w:val="56B6EC8B"/>
    <w:rsid w:val="56B7BCBE"/>
    <w:rsid w:val="56DE0714"/>
    <w:rsid w:val="56E13C32"/>
    <w:rsid w:val="56FFAF67"/>
    <w:rsid w:val="5737EC7D"/>
    <w:rsid w:val="573DA6A5"/>
    <w:rsid w:val="573DBC9E"/>
    <w:rsid w:val="5756C09E"/>
    <w:rsid w:val="5757C95C"/>
    <w:rsid w:val="575E94B6"/>
    <w:rsid w:val="5774B0E0"/>
    <w:rsid w:val="5777A550"/>
    <w:rsid w:val="5781E7CD"/>
    <w:rsid w:val="57833D82"/>
    <w:rsid w:val="5787BBE9"/>
    <w:rsid w:val="578F3251"/>
    <w:rsid w:val="5795966E"/>
    <w:rsid w:val="57A59F37"/>
    <w:rsid w:val="57AB90A3"/>
    <w:rsid w:val="57ABC052"/>
    <w:rsid w:val="57D12493"/>
    <w:rsid w:val="57D22164"/>
    <w:rsid w:val="57E8D4B5"/>
    <w:rsid w:val="57F5D2FC"/>
    <w:rsid w:val="57F72C5D"/>
    <w:rsid w:val="57FF7439"/>
    <w:rsid w:val="580B3178"/>
    <w:rsid w:val="58120C8B"/>
    <w:rsid w:val="58269078"/>
    <w:rsid w:val="5826B65E"/>
    <w:rsid w:val="582D8840"/>
    <w:rsid w:val="58464294"/>
    <w:rsid w:val="584DD6FD"/>
    <w:rsid w:val="586084E2"/>
    <w:rsid w:val="5882B289"/>
    <w:rsid w:val="5893962A"/>
    <w:rsid w:val="58A8CFB9"/>
    <w:rsid w:val="58B77E35"/>
    <w:rsid w:val="58C5E457"/>
    <w:rsid w:val="58CB093F"/>
    <w:rsid w:val="58E4DAFC"/>
    <w:rsid w:val="58E641BF"/>
    <w:rsid w:val="58EE1012"/>
    <w:rsid w:val="58F2D539"/>
    <w:rsid w:val="59204A15"/>
    <w:rsid w:val="5922AE10"/>
    <w:rsid w:val="59299D5E"/>
    <w:rsid w:val="5934B6B2"/>
    <w:rsid w:val="5938E45D"/>
    <w:rsid w:val="59429FC4"/>
    <w:rsid w:val="5942FB71"/>
    <w:rsid w:val="5949C554"/>
    <w:rsid w:val="595B0C23"/>
    <w:rsid w:val="59657BF7"/>
    <w:rsid w:val="596F53AB"/>
    <w:rsid w:val="5970D47C"/>
    <w:rsid w:val="5988635A"/>
    <w:rsid w:val="59AB2F91"/>
    <w:rsid w:val="59AD20C1"/>
    <w:rsid w:val="59BF3AA7"/>
    <w:rsid w:val="59D19982"/>
    <w:rsid w:val="59D1B188"/>
    <w:rsid w:val="59D480A8"/>
    <w:rsid w:val="59D650B6"/>
    <w:rsid w:val="59E0C53F"/>
    <w:rsid w:val="59E1288D"/>
    <w:rsid w:val="59E4D8D6"/>
    <w:rsid w:val="59E857FA"/>
    <w:rsid w:val="59EBD01F"/>
    <w:rsid w:val="59ECA4DF"/>
    <w:rsid w:val="59EE407D"/>
    <w:rsid w:val="59EEE9B4"/>
    <w:rsid w:val="59F3098D"/>
    <w:rsid w:val="5A0CEEC8"/>
    <w:rsid w:val="5A26F4B5"/>
    <w:rsid w:val="5A441966"/>
    <w:rsid w:val="5A497D9A"/>
    <w:rsid w:val="5A4AB027"/>
    <w:rsid w:val="5A52045B"/>
    <w:rsid w:val="5A554091"/>
    <w:rsid w:val="5A63DB21"/>
    <w:rsid w:val="5A6A143F"/>
    <w:rsid w:val="5A87A8E9"/>
    <w:rsid w:val="5A96D219"/>
    <w:rsid w:val="5A9DA3F9"/>
    <w:rsid w:val="5AAA7417"/>
    <w:rsid w:val="5AB23174"/>
    <w:rsid w:val="5AB4D4F7"/>
    <w:rsid w:val="5AC6B1D3"/>
    <w:rsid w:val="5ACEEC33"/>
    <w:rsid w:val="5AD1D49A"/>
    <w:rsid w:val="5AE0CEFF"/>
    <w:rsid w:val="5AE2781E"/>
    <w:rsid w:val="5AEE48FA"/>
    <w:rsid w:val="5B04A8A3"/>
    <w:rsid w:val="5B35CA8C"/>
    <w:rsid w:val="5B362C33"/>
    <w:rsid w:val="5B658C1E"/>
    <w:rsid w:val="5B663D18"/>
    <w:rsid w:val="5B68AF72"/>
    <w:rsid w:val="5B78789C"/>
    <w:rsid w:val="5B8F082A"/>
    <w:rsid w:val="5B90FA4D"/>
    <w:rsid w:val="5B9D815C"/>
    <w:rsid w:val="5BA077CE"/>
    <w:rsid w:val="5BA60C9B"/>
    <w:rsid w:val="5BC3849F"/>
    <w:rsid w:val="5BD4F919"/>
    <w:rsid w:val="5BD60059"/>
    <w:rsid w:val="5BF8DAD3"/>
    <w:rsid w:val="5BFF7041"/>
    <w:rsid w:val="5C15FD5C"/>
    <w:rsid w:val="5C39ACC4"/>
    <w:rsid w:val="5C3FC124"/>
    <w:rsid w:val="5C44DDD8"/>
    <w:rsid w:val="5C47216B"/>
    <w:rsid w:val="5C651302"/>
    <w:rsid w:val="5C6772AD"/>
    <w:rsid w:val="5CA2B859"/>
    <w:rsid w:val="5CAB1CFD"/>
    <w:rsid w:val="5CB70C59"/>
    <w:rsid w:val="5CDBC9F0"/>
    <w:rsid w:val="5CDFFEF6"/>
    <w:rsid w:val="5CE991F2"/>
    <w:rsid w:val="5CECB92B"/>
    <w:rsid w:val="5CF96DBB"/>
    <w:rsid w:val="5CFE90B1"/>
    <w:rsid w:val="5D018787"/>
    <w:rsid w:val="5D2A0F24"/>
    <w:rsid w:val="5D2F611E"/>
    <w:rsid w:val="5D3144DC"/>
    <w:rsid w:val="5D41CBBB"/>
    <w:rsid w:val="5D42BE55"/>
    <w:rsid w:val="5D5275F2"/>
    <w:rsid w:val="5D639D8D"/>
    <w:rsid w:val="5D6911C6"/>
    <w:rsid w:val="5D6957D8"/>
    <w:rsid w:val="5D6DEC61"/>
    <w:rsid w:val="5D6F0E36"/>
    <w:rsid w:val="5D74D2CD"/>
    <w:rsid w:val="5D7594BE"/>
    <w:rsid w:val="5D88C1CB"/>
    <w:rsid w:val="5D90F081"/>
    <w:rsid w:val="5D99557A"/>
    <w:rsid w:val="5DACEA25"/>
    <w:rsid w:val="5DB25E77"/>
    <w:rsid w:val="5DC601EF"/>
    <w:rsid w:val="5DE115BC"/>
    <w:rsid w:val="5E0BB6B2"/>
    <w:rsid w:val="5E137C2E"/>
    <w:rsid w:val="5E17B31D"/>
    <w:rsid w:val="5E18656D"/>
    <w:rsid w:val="5E2846A1"/>
    <w:rsid w:val="5E36C4A9"/>
    <w:rsid w:val="5E3C5749"/>
    <w:rsid w:val="5E5E9BF5"/>
    <w:rsid w:val="5E612C95"/>
    <w:rsid w:val="5E6299E5"/>
    <w:rsid w:val="5E6FC3BD"/>
    <w:rsid w:val="5E729C9C"/>
    <w:rsid w:val="5E93F9E8"/>
    <w:rsid w:val="5E9A3F37"/>
    <w:rsid w:val="5EA2DC90"/>
    <w:rsid w:val="5EAA1743"/>
    <w:rsid w:val="5EB2D6D9"/>
    <w:rsid w:val="5EBE7B51"/>
    <w:rsid w:val="5ECFC8C7"/>
    <w:rsid w:val="5EE4A004"/>
    <w:rsid w:val="5EEA1955"/>
    <w:rsid w:val="5EEA8BD5"/>
    <w:rsid w:val="5EF6B43F"/>
    <w:rsid w:val="5F0B6043"/>
    <w:rsid w:val="5F1715AF"/>
    <w:rsid w:val="5F1A89F7"/>
    <w:rsid w:val="5F1D958C"/>
    <w:rsid w:val="5F447C41"/>
    <w:rsid w:val="5F4FB932"/>
    <w:rsid w:val="5F56F189"/>
    <w:rsid w:val="5F5897CC"/>
    <w:rsid w:val="5F6228C3"/>
    <w:rsid w:val="5F6ABC0A"/>
    <w:rsid w:val="5F741B2F"/>
    <w:rsid w:val="5F773FAE"/>
    <w:rsid w:val="5F8643F4"/>
    <w:rsid w:val="5F8D2C79"/>
    <w:rsid w:val="5F9B62EF"/>
    <w:rsid w:val="5F9C6566"/>
    <w:rsid w:val="5FB8221F"/>
    <w:rsid w:val="5FBAC62B"/>
    <w:rsid w:val="5FC1442E"/>
    <w:rsid w:val="5FDD1733"/>
    <w:rsid w:val="5FE74084"/>
    <w:rsid w:val="5FEA8382"/>
    <w:rsid w:val="5FF776F1"/>
    <w:rsid w:val="5FF94DBF"/>
    <w:rsid w:val="6004FA8C"/>
    <w:rsid w:val="6008FD23"/>
    <w:rsid w:val="6009F8E5"/>
    <w:rsid w:val="600B3DD0"/>
    <w:rsid w:val="6041B771"/>
    <w:rsid w:val="604610D9"/>
    <w:rsid w:val="605E29A6"/>
    <w:rsid w:val="6061616A"/>
    <w:rsid w:val="6073C4AC"/>
    <w:rsid w:val="607425F8"/>
    <w:rsid w:val="607935F7"/>
    <w:rsid w:val="607B020E"/>
    <w:rsid w:val="607FB86D"/>
    <w:rsid w:val="608E82E2"/>
    <w:rsid w:val="608F25AE"/>
    <w:rsid w:val="609AC816"/>
    <w:rsid w:val="60A7B488"/>
    <w:rsid w:val="60B4BA7E"/>
    <w:rsid w:val="60B73773"/>
    <w:rsid w:val="60BE3765"/>
    <w:rsid w:val="60CA12CB"/>
    <w:rsid w:val="60CAEA48"/>
    <w:rsid w:val="60D2017D"/>
    <w:rsid w:val="60E30939"/>
    <w:rsid w:val="60E661C9"/>
    <w:rsid w:val="60F017C8"/>
    <w:rsid w:val="60F10042"/>
    <w:rsid w:val="60F21B1A"/>
    <w:rsid w:val="60FB0D40"/>
    <w:rsid w:val="611932B0"/>
    <w:rsid w:val="614C91F6"/>
    <w:rsid w:val="615297D8"/>
    <w:rsid w:val="616FBDA1"/>
    <w:rsid w:val="61A43DC1"/>
    <w:rsid w:val="61A7647F"/>
    <w:rsid w:val="61A81B38"/>
    <w:rsid w:val="61ADB73B"/>
    <w:rsid w:val="61BB4AE9"/>
    <w:rsid w:val="61BC8DE7"/>
    <w:rsid w:val="61C03940"/>
    <w:rsid w:val="61C475C9"/>
    <w:rsid w:val="61F6B9FA"/>
    <w:rsid w:val="62259E46"/>
    <w:rsid w:val="62323448"/>
    <w:rsid w:val="62330147"/>
    <w:rsid w:val="625C5857"/>
    <w:rsid w:val="6266176B"/>
    <w:rsid w:val="627F7AA9"/>
    <w:rsid w:val="62862760"/>
    <w:rsid w:val="62A1B67A"/>
    <w:rsid w:val="62B268D1"/>
    <w:rsid w:val="62B2FB21"/>
    <w:rsid w:val="62F81A2A"/>
    <w:rsid w:val="62FCF60B"/>
    <w:rsid w:val="62FDFB37"/>
    <w:rsid w:val="63110B77"/>
    <w:rsid w:val="6314B269"/>
    <w:rsid w:val="63282A34"/>
    <w:rsid w:val="634334E0"/>
    <w:rsid w:val="634BD874"/>
    <w:rsid w:val="6352D8BB"/>
    <w:rsid w:val="6356514D"/>
    <w:rsid w:val="635EF2FD"/>
    <w:rsid w:val="636E8A85"/>
    <w:rsid w:val="6380993C"/>
    <w:rsid w:val="638E7117"/>
    <w:rsid w:val="638E9A80"/>
    <w:rsid w:val="63AB8EFB"/>
    <w:rsid w:val="63E14152"/>
    <w:rsid w:val="63EE2249"/>
    <w:rsid w:val="63F62506"/>
    <w:rsid w:val="64187088"/>
    <w:rsid w:val="642135EF"/>
    <w:rsid w:val="642E4846"/>
    <w:rsid w:val="6436F756"/>
    <w:rsid w:val="6438A14A"/>
    <w:rsid w:val="64454CB6"/>
    <w:rsid w:val="647A9CC4"/>
    <w:rsid w:val="648315B9"/>
    <w:rsid w:val="6498BC63"/>
    <w:rsid w:val="64A89788"/>
    <w:rsid w:val="64C75D5E"/>
    <w:rsid w:val="64D10A35"/>
    <w:rsid w:val="64EE6C29"/>
    <w:rsid w:val="6517B878"/>
    <w:rsid w:val="6545F643"/>
    <w:rsid w:val="65556F2B"/>
    <w:rsid w:val="6559C3DA"/>
    <w:rsid w:val="6560DDCC"/>
    <w:rsid w:val="656B2C4C"/>
    <w:rsid w:val="6596442A"/>
    <w:rsid w:val="6599E232"/>
    <w:rsid w:val="659FEBD7"/>
    <w:rsid w:val="65B32B9E"/>
    <w:rsid w:val="65C79E3F"/>
    <w:rsid w:val="65CA845B"/>
    <w:rsid w:val="65F18007"/>
    <w:rsid w:val="65F2109B"/>
    <w:rsid w:val="65FD1BD0"/>
    <w:rsid w:val="660A3EE3"/>
    <w:rsid w:val="661FFB69"/>
    <w:rsid w:val="66200319"/>
    <w:rsid w:val="6638A584"/>
    <w:rsid w:val="663C2538"/>
    <w:rsid w:val="66587E4A"/>
    <w:rsid w:val="666DC8B0"/>
    <w:rsid w:val="66901253"/>
    <w:rsid w:val="66912802"/>
    <w:rsid w:val="669D7A0C"/>
    <w:rsid w:val="66C66262"/>
    <w:rsid w:val="66D6633A"/>
    <w:rsid w:val="66DCBD31"/>
    <w:rsid w:val="66DF9560"/>
    <w:rsid w:val="66F750D8"/>
    <w:rsid w:val="66F78E22"/>
    <w:rsid w:val="66FBB571"/>
    <w:rsid w:val="6706008E"/>
    <w:rsid w:val="6723E7EA"/>
    <w:rsid w:val="6729D611"/>
    <w:rsid w:val="6739D170"/>
    <w:rsid w:val="67494299"/>
    <w:rsid w:val="674F0CC1"/>
    <w:rsid w:val="675BC142"/>
    <w:rsid w:val="67746EF4"/>
    <w:rsid w:val="677A83E1"/>
    <w:rsid w:val="678669BB"/>
    <w:rsid w:val="6790A560"/>
    <w:rsid w:val="67BE293B"/>
    <w:rsid w:val="67C4CA88"/>
    <w:rsid w:val="67E6E5FA"/>
    <w:rsid w:val="67F9FFEF"/>
    <w:rsid w:val="67FD7DA6"/>
    <w:rsid w:val="67FEC271"/>
    <w:rsid w:val="682B6658"/>
    <w:rsid w:val="683D29FB"/>
    <w:rsid w:val="68666F7D"/>
    <w:rsid w:val="68821610"/>
    <w:rsid w:val="68932139"/>
    <w:rsid w:val="68A8E540"/>
    <w:rsid w:val="68AAAB8D"/>
    <w:rsid w:val="68B66031"/>
    <w:rsid w:val="68D20625"/>
    <w:rsid w:val="68D399EF"/>
    <w:rsid w:val="68D8EF81"/>
    <w:rsid w:val="68DE4C85"/>
    <w:rsid w:val="68EF6042"/>
    <w:rsid w:val="68F48064"/>
    <w:rsid w:val="68F9C50E"/>
    <w:rsid w:val="68FC243A"/>
    <w:rsid w:val="6901FE6C"/>
    <w:rsid w:val="69287AFD"/>
    <w:rsid w:val="693F90E6"/>
    <w:rsid w:val="6943AE8E"/>
    <w:rsid w:val="69450016"/>
    <w:rsid w:val="6949115A"/>
    <w:rsid w:val="69493CE9"/>
    <w:rsid w:val="6963660F"/>
    <w:rsid w:val="6965D23B"/>
    <w:rsid w:val="697CCB97"/>
    <w:rsid w:val="69A22225"/>
    <w:rsid w:val="69A6A8E1"/>
    <w:rsid w:val="69A82B85"/>
    <w:rsid w:val="69D5EA08"/>
    <w:rsid w:val="69DD40A6"/>
    <w:rsid w:val="69E2CA60"/>
    <w:rsid w:val="69E92F80"/>
    <w:rsid w:val="69F8DC6A"/>
    <w:rsid w:val="6A0A3F34"/>
    <w:rsid w:val="6A226205"/>
    <w:rsid w:val="6A249B29"/>
    <w:rsid w:val="6A5262CD"/>
    <w:rsid w:val="6A5E49B5"/>
    <w:rsid w:val="6A7C9B7D"/>
    <w:rsid w:val="6A9D21E2"/>
    <w:rsid w:val="6AA07FAE"/>
    <w:rsid w:val="6AA42848"/>
    <w:rsid w:val="6AB27D8A"/>
    <w:rsid w:val="6ABD7AB6"/>
    <w:rsid w:val="6AC2F7E6"/>
    <w:rsid w:val="6AC458E7"/>
    <w:rsid w:val="6ADF628E"/>
    <w:rsid w:val="6AECEEC4"/>
    <w:rsid w:val="6B13A98D"/>
    <w:rsid w:val="6B1F2274"/>
    <w:rsid w:val="6B263F13"/>
    <w:rsid w:val="6B2A778E"/>
    <w:rsid w:val="6B3F1971"/>
    <w:rsid w:val="6B486D50"/>
    <w:rsid w:val="6B53AAE1"/>
    <w:rsid w:val="6B5B8ADE"/>
    <w:rsid w:val="6B827013"/>
    <w:rsid w:val="6B836BDA"/>
    <w:rsid w:val="6B9B3C1E"/>
    <w:rsid w:val="6B9CBD0A"/>
    <w:rsid w:val="6BB1999E"/>
    <w:rsid w:val="6BBC0D1C"/>
    <w:rsid w:val="6BE1B46A"/>
    <w:rsid w:val="6C0BB021"/>
    <w:rsid w:val="6C2BAF1C"/>
    <w:rsid w:val="6C343B74"/>
    <w:rsid w:val="6C3FFE75"/>
    <w:rsid w:val="6C5485A7"/>
    <w:rsid w:val="6C594B17"/>
    <w:rsid w:val="6C5DBEB6"/>
    <w:rsid w:val="6C669381"/>
    <w:rsid w:val="6C6B2E30"/>
    <w:rsid w:val="6C73EAB1"/>
    <w:rsid w:val="6C8390AC"/>
    <w:rsid w:val="6C86A527"/>
    <w:rsid w:val="6CA22717"/>
    <w:rsid w:val="6CA5860E"/>
    <w:rsid w:val="6CC10B01"/>
    <w:rsid w:val="6CF024E8"/>
    <w:rsid w:val="6CF069E2"/>
    <w:rsid w:val="6D14D75C"/>
    <w:rsid w:val="6D258B66"/>
    <w:rsid w:val="6D2862C6"/>
    <w:rsid w:val="6D3FA9A9"/>
    <w:rsid w:val="6D4716E5"/>
    <w:rsid w:val="6D4C5162"/>
    <w:rsid w:val="6D518478"/>
    <w:rsid w:val="6D5CE77F"/>
    <w:rsid w:val="6D65E788"/>
    <w:rsid w:val="6D6F8871"/>
    <w:rsid w:val="6D756115"/>
    <w:rsid w:val="6D75F4D3"/>
    <w:rsid w:val="6D8D442B"/>
    <w:rsid w:val="6D979D2E"/>
    <w:rsid w:val="6D9DFF05"/>
    <w:rsid w:val="6DA18C92"/>
    <w:rsid w:val="6DAA6DA5"/>
    <w:rsid w:val="6DB3C59B"/>
    <w:rsid w:val="6DBD0C95"/>
    <w:rsid w:val="6DC0F316"/>
    <w:rsid w:val="6DD39839"/>
    <w:rsid w:val="6DD61B2F"/>
    <w:rsid w:val="6DD95B36"/>
    <w:rsid w:val="6DDFB054"/>
    <w:rsid w:val="6DEA044F"/>
    <w:rsid w:val="6DEBE330"/>
    <w:rsid w:val="6DECABF3"/>
    <w:rsid w:val="6E20BF39"/>
    <w:rsid w:val="6E24B801"/>
    <w:rsid w:val="6E35EAFA"/>
    <w:rsid w:val="6E4B59A9"/>
    <w:rsid w:val="6E500772"/>
    <w:rsid w:val="6E503129"/>
    <w:rsid w:val="6E507FAA"/>
    <w:rsid w:val="6E5E929A"/>
    <w:rsid w:val="6E85445A"/>
    <w:rsid w:val="6EA33C37"/>
    <w:rsid w:val="6EC9770F"/>
    <w:rsid w:val="6EC9ADF4"/>
    <w:rsid w:val="6ED3B02C"/>
    <w:rsid w:val="6ED7AEB6"/>
    <w:rsid w:val="6EDD8873"/>
    <w:rsid w:val="6EDE531B"/>
    <w:rsid w:val="6EF10A74"/>
    <w:rsid w:val="6F03F1B3"/>
    <w:rsid w:val="6F04F1FA"/>
    <w:rsid w:val="6F0C2C46"/>
    <w:rsid w:val="6F101520"/>
    <w:rsid w:val="6F24CAEE"/>
    <w:rsid w:val="6F32C649"/>
    <w:rsid w:val="6F354B10"/>
    <w:rsid w:val="6F3DDE7A"/>
    <w:rsid w:val="6F551FBD"/>
    <w:rsid w:val="6F5C5692"/>
    <w:rsid w:val="6F5C710E"/>
    <w:rsid w:val="6F62E41D"/>
    <w:rsid w:val="6F7A8DC4"/>
    <w:rsid w:val="6F7BAC41"/>
    <w:rsid w:val="6F8C3B29"/>
    <w:rsid w:val="6F97D1E1"/>
    <w:rsid w:val="6F9828A7"/>
    <w:rsid w:val="6F9BB534"/>
    <w:rsid w:val="6FA56708"/>
    <w:rsid w:val="6FD8CF82"/>
    <w:rsid w:val="6FE22852"/>
    <w:rsid w:val="6FE68BCF"/>
    <w:rsid w:val="6FFC7FAE"/>
    <w:rsid w:val="6FFD4C82"/>
    <w:rsid w:val="700D368A"/>
    <w:rsid w:val="700F8A3B"/>
    <w:rsid w:val="7012302A"/>
    <w:rsid w:val="7015D2D2"/>
    <w:rsid w:val="7018E603"/>
    <w:rsid w:val="701A67AC"/>
    <w:rsid w:val="7021D230"/>
    <w:rsid w:val="70264B5E"/>
    <w:rsid w:val="702D9EF7"/>
    <w:rsid w:val="70307F5D"/>
    <w:rsid w:val="703C2C22"/>
    <w:rsid w:val="7042B404"/>
    <w:rsid w:val="70446AFF"/>
    <w:rsid w:val="705580DE"/>
    <w:rsid w:val="705632A3"/>
    <w:rsid w:val="705B16AE"/>
    <w:rsid w:val="70833271"/>
    <w:rsid w:val="708BC3EF"/>
    <w:rsid w:val="708C9AE1"/>
    <w:rsid w:val="709B135E"/>
    <w:rsid w:val="70A2F87B"/>
    <w:rsid w:val="70BF7850"/>
    <w:rsid w:val="70C901AC"/>
    <w:rsid w:val="70CDE12E"/>
    <w:rsid w:val="70D211EA"/>
    <w:rsid w:val="70E6EBA5"/>
    <w:rsid w:val="70EFEE6E"/>
    <w:rsid w:val="70FB4366"/>
    <w:rsid w:val="70FEE7F6"/>
    <w:rsid w:val="710DB1CF"/>
    <w:rsid w:val="711EBE53"/>
    <w:rsid w:val="71252E55"/>
    <w:rsid w:val="7134BB1C"/>
    <w:rsid w:val="71406024"/>
    <w:rsid w:val="71497E40"/>
    <w:rsid w:val="7157BA7F"/>
    <w:rsid w:val="71652F25"/>
    <w:rsid w:val="717DF8B3"/>
    <w:rsid w:val="7188C7C1"/>
    <w:rsid w:val="718D7A27"/>
    <w:rsid w:val="719A92D5"/>
    <w:rsid w:val="719D6BBD"/>
    <w:rsid w:val="71AD884D"/>
    <w:rsid w:val="71BD1F89"/>
    <w:rsid w:val="71BDAFF2"/>
    <w:rsid w:val="71D8B8D1"/>
    <w:rsid w:val="71DBB6A8"/>
    <w:rsid w:val="71E9D9E6"/>
    <w:rsid w:val="7208A60C"/>
    <w:rsid w:val="720A7DA2"/>
    <w:rsid w:val="720B50EE"/>
    <w:rsid w:val="72153C37"/>
    <w:rsid w:val="7220C46F"/>
    <w:rsid w:val="7225FE38"/>
    <w:rsid w:val="7253E484"/>
    <w:rsid w:val="727CF82E"/>
    <w:rsid w:val="7286E1BA"/>
    <w:rsid w:val="72950F4D"/>
    <w:rsid w:val="72B9857A"/>
    <w:rsid w:val="72C90146"/>
    <w:rsid w:val="72D2C3AB"/>
    <w:rsid w:val="730791AF"/>
    <w:rsid w:val="73123AE8"/>
    <w:rsid w:val="731CFFA8"/>
    <w:rsid w:val="73731882"/>
    <w:rsid w:val="7376E935"/>
    <w:rsid w:val="73778491"/>
    <w:rsid w:val="737AEAEA"/>
    <w:rsid w:val="737FDB60"/>
    <w:rsid w:val="738BA173"/>
    <w:rsid w:val="738CFA8E"/>
    <w:rsid w:val="7390F8CF"/>
    <w:rsid w:val="73981C18"/>
    <w:rsid w:val="73A0DD4F"/>
    <w:rsid w:val="73A6C0F4"/>
    <w:rsid w:val="73E084EF"/>
    <w:rsid w:val="73ECAD8A"/>
    <w:rsid w:val="73F20E7C"/>
    <w:rsid w:val="73F269EA"/>
    <w:rsid w:val="7408F944"/>
    <w:rsid w:val="74134C10"/>
    <w:rsid w:val="74282299"/>
    <w:rsid w:val="7436CC1F"/>
    <w:rsid w:val="746CB9C1"/>
    <w:rsid w:val="747D8A17"/>
    <w:rsid w:val="74A2E8E9"/>
    <w:rsid w:val="74C5965F"/>
    <w:rsid w:val="74CC154C"/>
    <w:rsid w:val="74E2536A"/>
    <w:rsid w:val="74EDA39D"/>
    <w:rsid w:val="74F205DD"/>
    <w:rsid w:val="75122660"/>
    <w:rsid w:val="75126F3B"/>
    <w:rsid w:val="7516E412"/>
    <w:rsid w:val="75194D59"/>
    <w:rsid w:val="754C6C0C"/>
    <w:rsid w:val="75587BE4"/>
    <w:rsid w:val="7558D880"/>
    <w:rsid w:val="7559DA55"/>
    <w:rsid w:val="75605678"/>
    <w:rsid w:val="7561D95D"/>
    <w:rsid w:val="7574F118"/>
    <w:rsid w:val="7590CC87"/>
    <w:rsid w:val="75C17E57"/>
    <w:rsid w:val="75C940D5"/>
    <w:rsid w:val="75D7107D"/>
    <w:rsid w:val="75DE5CF2"/>
    <w:rsid w:val="75EC9A28"/>
    <w:rsid w:val="75F0A5B8"/>
    <w:rsid w:val="75F12C1C"/>
    <w:rsid w:val="760C4EBF"/>
    <w:rsid w:val="76180F1E"/>
    <w:rsid w:val="764DB865"/>
    <w:rsid w:val="76584513"/>
    <w:rsid w:val="767D33C8"/>
    <w:rsid w:val="7687513E"/>
    <w:rsid w:val="768A2798"/>
    <w:rsid w:val="7699E373"/>
    <w:rsid w:val="76A44A58"/>
    <w:rsid w:val="76A8232E"/>
    <w:rsid w:val="76B3FE95"/>
    <w:rsid w:val="76D19A5F"/>
    <w:rsid w:val="76F04F0B"/>
    <w:rsid w:val="76F1F9E8"/>
    <w:rsid w:val="76F28CB2"/>
    <w:rsid w:val="76F8F042"/>
    <w:rsid w:val="76FFD47E"/>
    <w:rsid w:val="7704C8CE"/>
    <w:rsid w:val="77214C59"/>
    <w:rsid w:val="772401C1"/>
    <w:rsid w:val="7732CAB9"/>
    <w:rsid w:val="773F87ED"/>
    <w:rsid w:val="7744BF2F"/>
    <w:rsid w:val="776640B4"/>
    <w:rsid w:val="77704BA9"/>
    <w:rsid w:val="778A263A"/>
    <w:rsid w:val="77B760F3"/>
    <w:rsid w:val="77BAD125"/>
    <w:rsid w:val="77BE50A4"/>
    <w:rsid w:val="77BFBB21"/>
    <w:rsid w:val="77C533EC"/>
    <w:rsid w:val="77E2D6AB"/>
    <w:rsid w:val="77EADA15"/>
    <w:rsid w:val="77EC0C87"/>
    <w:rsid w:val="77EEB0DD"/>
    <w:rsid w:val="77EF370A"/>
    <w:rsid w:val="77F2CD85"/>
    <w:rsid w:val="77F3C3EA"/>
    <w:rsid w:val="77FB4510"/>
    <w:rsid w:val="7806FDA6"/>
    <w:rsid w:val="78079FB6"/>
    <w:rsid w:val="780B54EA"/>
    <w:rsid w:val="78100E93"/>
    <w:rsid w:val="7817EAF7"/>
    <w:rsid w:val="7828B3D0"/>
    <w:rsid w:val="782D8FF0"/>
    <w:rsid w:val="7842EFA9"/>
    <w:rsid w:val="7845F57C"/>
    <w:rsid w:val="784AC768"/>
    <w:rsid w:val="786D0C70"/>
    <w:rsid w:val="786F3D0F"/>
    <w:rsid w:val="7873FAEB"/>
    <w:rsid w:val="787789F8"/>
    <w:rsid w:val="788002C0"/>
    <w:rsid w:val="78840CCE"/>
    <w:rsid w:val="7884A92E"/>
    <w:rsid w:val="7888BF94"/>
    <w:rsid w:val="78A64DF4"/>
    <w:rsid w:val="78C1BFA6"/>
    <w:rsid w:val="78D1D753"/>
    <w:rsid w:val="78DBC99E"/>
    <w:rsid w:val="78E7F59B"/>
    <w:rsid w:val="790A3D42"/>
    <w:rsid w:val="790A5DD0"/>
    <w:rsid w:val="790C85EC"/>
    <w:rsid w:val="792E3144"/>
    <w:rsid w:val="793C71FF"/>
    <w:rsid w:val="794A4E05"/>
    <w:rsid w:val="7969C3C6"/>
    <w:rsid w:val="79731FB5"/>
    <w:rsid w:val="79A635C0"/>
    <w:rsid w:val="79A869E5"/>
    <w:rsid w:val="79ABB9B3"/>
    <w:rsid w:val="79B3C2EE"/>
    <w:rsid w:val="79D73A76"/>
    <w:rsid w:val="79D86554"/>
    <w:rsid w:val="79EF2F47"/>
    <w:rsid w:val="79F12AE5"/>
    <w:rsid w:val="79FAFD0B"/>
    <w:rsid w:val="7A00AD63"/>
    <w:rsid w:val="7A1C60B5"/>
    <w:rsid w:val="7A5BAD96"/>
    <w:rsid w:val="7A5BB7A8"/>
    <w:rsid w:val="7A6A81A6"/>
    <w:rsid w:val="7A6EECF4"/>
    <w:rsid w:val="7A7A36D7"/>
    <w:rsid w:val="7A8690EA"/>
    <w:rsid w:val="7AA884B2"/>
    <w:rsid w:val="7AAE24A1"/>
    <w:rsid w:val="7AB9AFE1"/>
    <w:rsid w:val="7AC48DF9"/>
    <w:rsid w:val="7AC9E770"/>
    <w:rsid w:val="7AE75B26"/>
    <w:rsid w:val="7AF8FCF1"/>
    <w:rsid w:val="7B1E44B0"/>
    <w:rsid w:val="7B21F668"/>
    <w:rsid w:val="7B3EEEB9"/>
    <w:rsid w:val="7B6C472B"/>
    <w:rsid w:val="7B7285A7"/>
    <w:rsid w:val="7B82A0F8"/>
    <w:rsid w:val="7BA2CE7C"/>
    <w:rsid w:val="7BAA5F18"/>
    <w:rsid w:val="7BB8805C"/>
    <w:rsid w:val="7BC2C3C5"/>
    <w:rsid w:val="7BCB8ECE"/>
    <w:rsid w:val="7BE4329C"/>
    <w:rsid w:val="7BF19CA4"/>
    <w:rsid w:val="7BFEF41D"/>
    <w:rsid w:val="7BFF9BBA"/>
    <w:rsid w:val="7C0ABD55"/>
    <w:rsid w:val="7C141D0F"/>
    <w:rsid w:val="7C165FE8"/>
    <w:rsid w:val="7C1C6DBE"/>
    <w:rsid w:val="7C2A83D3"/>
    <w:rsid w:val="7C491C49"/>
    <w:rsid w:val="7C4A0A37"/>
    <w:rsid w:val="7C4D5653"/>
    <w:rsid w:val="7C567538"/>
    <w:rsid w:val="7C72B711"/>
    <w:rsid w:val="7C76F980"/>
    <w:rsid w:val="7C777C9B"/>
    <w:rsid w:val="7C7C0A15"/>
    <w:rsid w:val="7C80E257"/>
    <w:rsid w:val="7C865F81"/>
    <w:rsid w:val="7CB36F15"/>
    <w:rsid w:val="7CB478F0"/>
    <w:rsid w:val="7CBB470C"/>
    <w:rsid w:val="7CC38904"/>
    <w:rsid w:val="7CD10826"/>
    <w:rsid w:val="7CD367F0"/>
    <w:rsid w:val="7CD48FEF"/>
    <w:rsid w:val="7CE16F9D"/>
    <w:rsid w:val="7D030FB3"/>
    <w:rsid w:val="7D11F068"/>
    <w:rsid w:val="7D157824"/>
    <w:rsid w:val="7D1A8DD5"/>
    <w:rsid w:val="7D243A19"/>
    <w:rsid w:val="7D358F15"/>
    <w:rsid w:val="7D3CAB30"/>
    <w:rsid w:val="7D4A6329"/>
    <w:rsid w:val="7D629DA9"/>
    <w:rsid w:val="7D7476DE"/>
    <w:rsid w:val="7D890017"/>
    <w:rsid w:val="7D94C0F5"/>
    <w:rsid w:val="7DA53642"/>
    <w:rsid w:val="7DBFAE9D"/>
    <w:rsid w:val="7DC368D1"/>
    <w:rsid w:val="7DC9CB00"/>
    <w:rsid w:val="7DDB7BA7"/>
    <w:rsid w:val="7DDCDF29"/>
    <w:rsid w:val="7DE98C40"/>
    <w:rsid w:val="7DE99684"/>
    <w:rsid w:val="7DEA4BE7"/>
    <w:rsid w:val="7DF895F5"/>
    <w:rsid w:val="7E093080"/>
    <w:rsid w:val="7E0CED1F"/>
    <w:rsid w:val="7E101E9E"/>
    <w:rsid w:val="7E22F92B"/>
    <w:rsid w:val="7E24B157"/>
    <w:rsid w:val="7E27A024"/>
    <w:rsid w:val="7E27E865"/>
    <w:rsid w:val="7E5925FD"/>
    <w:rsid w:val="7E5977F7"/>
    <w:rsid w:val="7E5B1071"/>
    <w:rsid w:val="7E5D6F2B"/>
    <w:rsid w:val="7E5E64C3"/>
    <w:rsid w:val="7E61487F"/>
    <w:rsid w:val="7E721AE1"/>
    <w:rsid w:val="7E763B36"/>
    <w:rsid w:val="7E7DEE59"/>
    <w:rsid w:val="7E8739E1"/>
    <w:rsid w:val="7EBA63E9"/>
    <w:rsid w:val="7EBA8B0B"/>
    <w:rsid w:val="7EC01300"/>
    <w:rsid w:val="7EC8D091"/>
    <w:rsid w:val="7ED076B5"/>
    <w:rsid w:val="7F0571F7"/>
    <w:rsid w:val="7F07B48D"/>
    <w:rsid w:val="7F0C6266"/>
    <w:rsid w:val="7F0F6A0B"/>
    <w:rsid w:val="7F103B8C"/>
    <w:rsid w:val="7F205573"/>
    <w:rsid w:val="7F29AA4D"/>
    <w:rsid w:val="7F4590A1"/>
    <w:rsid w:val="7F4A92CF"/>
    <w:rsid w:val="7F53E9C8"/>
    <w:rsid w:val="7F564FA4"/>
    <w:rsid w:val="7F5C72BB"/>
    <w:rsid w:val="7F70452A"/>
    <w:rsid w:val="7F71CE84"/>
    <w:rsid w:val="7F78BAF1"/>
    <w:rsid w:val="7FA0208D"/>
    <w:rsid w:val="7FB2F682"/>
    <w:rsid w:val="7FB6BB00"/>
    <w:rsid w:val="7FC6F166"/>
    <w:rsid w:val="7FC90DA6"/>
    <w:rsid w:val="7FCDE8E8"/>
    <w:rsid w:val="7FDA1F05"/>
    <w:rsid w:val="7FDBA4D0"/>
    <w:rsid w:val="7FE5FE46"/>
    <w:rsid w:val="7FE77E6B"/>
    <w:rsid w:val="7FE80B31"/>
    <w:rsid w:val="7FF7B611"/>
    <w:rsid w:val="7FFADDCB"/>
    <w:rsid w:val="7FFD4699"/>
  </w:rsids>
  <m:mathPr>
    <m:mathFont m:val="Cambria Math"/>
    <m:brkBin m:val="before"/>
    <m:brkBinSub m:val="--"/>
    <m:smallFrac m:val="0"/>
    <m:dispDef/>
    <m:lMargin m:val="0"/>
    <m:rMargin m:val="0"/>
    <m:defJc m:val="centerGroup"/>
    <m:wrapIndent m:val="1440"/>
    <m:intLim m:val="subSup"/>
    <m:naryLim m:val="undOvr"/>
  </m:mathPr>
  <w:themeFontLang w:val="es-CO"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D49E32"/>
  <w15:docId w15:val="{89EF9FA8-7541-48CA-9E9C-3A276CD8DE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56E1"/>
    <w:pPr>
      <w:spacing w:after="0" w:line="240" w:lineRule="auto"/>
    </w:pPr>
    <w:rPr>
      <w:rFonts w:ascii="Times New Roman" w:eastAsia="Times New Roman" w:hAnsi="Times New Roman" w:cs="Times New Roman"/>
      <w:sz w:val="24"/>
      <w:szCs w:val="24"/>
      <w:lang w:eastAsia="es-MX"/>
    </w:rPr>
  </w:style>
  <w:style w:type="paragraph" w:styleId="Ttulo1">
    <w:name w:val="heading 1"/>
    <w:aliases w:val="Nivel 1,Nombre Proyecto"/>
    <w:basedOn w:val="Normal"/>
    <w:next w:val="Normal"/>
    <w:link w:val="Ttulo1Car"/>
    <w:uiPriority w:val="9"/>
    <w:qFormat/>
    <w:rsid w:val="00E34EC4"/>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unhideWhenUsed/>
    <w:qFormat/>
    <w:rsid w:val="003E27BC"/>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semiHidden/>
    <w:unhideWhenUsed/>
    <w:qFormat/>
    <w:rsid w:val="003E27BC"/>
    <w:pPr>
      <w:keepNext/>
      <w:keepLines/>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link w:val="Ttulo4Car"/>
    <w:uiPriority w:val="9"/>
    <w:semiHidden/>
    <w:unhideWhenUsed/>
    <w:qFormat/>
    <w:rsid w:val="001F1CC8"/>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DD1EC8"/>
    <w:pPr>
      <w:tabs>
        <w:tab w:val="center" w:pos="4419"/>
        <w:tab w:val="right" w:pos="8838"/>
      </w:tabs>
    </w:pPr>
  </w:style>
  <w:style w:type="character" w:customStyle="1" w:styleId="EncabezadoCar">
    <w:name w:val="Encabezado Car"/>
    <w:basedOn w:val="Fuentedeprrafopredeter"/>
    <w:link w:val="Encabezado"/>
    <w:rsid w:val="00DD1EC8"/>
  </w:style>
  <w:style w:type="paragraph" w:styleId="Piedepgina">
    <w:name w:val="footer"/>
    <w:basedOn w:val="Normal"/>
    <w:link w:val="PiedepginaCar"/>
    <w:uiPriority w:val="99"/>
    <w:unhideWhenUsed/>
    <w:rsid w:val="00DD1EC8"/>
    <w:pPr>
      <w:tabs>
        <w:tab w:val="center" w:pos="4419"/>
        <w:tab w:val="right" w:pos="8838"/>
      </w:tabs>
    </w:pPr>
  </w:style>
  <w:style w:type="character" w:customStyle="1" w:styleId="PiedepginaCar">
    <w:name w:val="Pie de página Car"/>
    <w:basedOn w:val="Fuentedeprrafopredeter"/>
    <w:link w:val="Piedepgina"/>
    <w:uiPriority w:val="99"/>
    <w:rsid w:val="00DD1EC8"/>
  </w:style>
  <w:style w:type="paragraph" w:styleId="Textodeglobo">
    <w:name w:val="Balloon Text"/>
    <w:basedOn w:val="Normal"/>
    <w:link w:val="TextodegloboCar"/>
    <w:uiPriority w:val="99"/>
    <w:semiHidden/>
    <w:unhideWhenUsed/>
    <w:rsid w:val="00DD1EC8"/>
    <w:rPr>
      <w:rFonts w:ascii="Tahoma" w:hAnsi="Tahoma" w:cs="Tahoma"/>
      <w:sz w:val="16"/>
      <w:szCs w:val="16"/>
    </w:rPr>
  </w:style>
  <w:style w:type="character" w:customStyle="1" w:styleId="TextodegloboCar">
    <w:name w:val="Texto de globo Car"/>
    <w:basedOn w:val="Fuentedeprrafopredeter"/>
    <w:link w:val="Textodeglobo"/>
    <w:uiPriority w:val="99"/>
    <w:semiHidden/>
    <w:rsid w:val="00DD1EC8"/>
    <w:rPr>
      <w:rFonts w:ascii="Tahoma" w:hAnsi="Tahoma" w:cs="Tahoma"/>
      <w:sz w:val="16"/>
      <w:szCs w:val="16"/>
    </w:rPr>
  </w:style>
  <w:style w:type="character" w:styleId="Hipervnculo">
    <w:name w:val="Hyperlink"/>
    <w:basedOn w:val="Fuentedeprrafopredeter"/>
    <w:uiPriority w:val="99"/>
    <w:unhideWhenUsed/>
    <w:rsid w:val="00985F4E"/>
    <w:rPr>
      <w:color w:val="0000FF" w:themeColor="hyperlink"/>
      <w:u w:val="single"/>
    </w:rPr>
  </w:style>
  <w:style w:type="paragraph" w:customStyle="1" w:styleId="Estilopredeterminado">
    <w:name w:val="Estilo predeterminado"/>
    <w:rsid w:val="00985F4E"/>
    <w:pPr>
      <w:suppressAutoHyphens/>
    </w:pPr>
    <w:rPr>
      <w:rFonts w:ascii="Times New Roman" w:eastAsia="MS Mincho;ＭＳ 明朝" w:hAnsi="Times New Roman" w:cs="Times New Roman"/>
      <w:color w:val="00000A"/>
      <w:sz w:val="24"/>
      <w:szCs w:val="24"/>
      <w:lang w:eastAsia="zh-CN"/>
    </w:rPr>
  </w:style>
  <w:style w:type="paragraph" w:styleId="Prrafodelista">
    <w:name w:val="List Paragraph"/>
    <w:aliases w:val="List,Bullets,Párrafo de lista1,titulo 3,Ha,Bullet List,FooterText,numbered,List Paragraph1,Paragraphe de liste1,lp1,Bulletr List Paragraph,Foot,列出段落,列出段落1,List Paragraph2,List Paragraph21,Parágrafo da Lista1,リスト段落1,HOJA,List Paragraph"/>
    <w:basedOn w:val="Normal"/>
    <w:link w:val="PrrafodelistaCar"/>
    <w:uiPriority w:val="34"/>
    <w:qFormat/>
    <w:rsid w:val="00C56177"/>
    <w:pPr>
      <w:ind w:left="720"/>
      <w:contextualSpacing/>
    </w:pPr>
  </w:style>
  <w:style w:type="paragraph" w:customStyle="1" w:styleId="Default">
    <w:name w:val="Default"/>
    <w:link w:val="DefaultCar"/>
    <w:rsid w:val="00C56177"/>
    <w:pPr>
      <w:autoSpaceDE w:val="0"/>
      <w:autoSpaceDN w:val="0"/>
      <w:adjustRightInd w:val="0"/>
      <w:spacing w:after="0" w:line="240" w:lineRule="auto"/>
    </w:pPr>
    <w:rPr>
      <w:rFonts w:ascii="Arial" w:hAnsi="Arial" w:cs="Arial"/>
      <w:color w:val="000000"/>
      <w:sz w:val="24"/>
      <w:szCs w:val="24"/>
    </w:rPr>
  </w:style>
  <w:style w:type="character" w:styleId="Refdecomentario">
    <w:name w:val="annotation reference"/>
    <w:basedOn w:val="Fuentedeprrafopredeter"/>
    <w:uiPriority w:val="99"/>
    <w:unhideWhenUsed/>
    <w:rsid w:val="00C041CB"/>
    <w:rPr>
      <w:sz w:val="16"/>
      <w:szCs w:val="16"/>
    </w:rPr>
  </w:style>
  <w:style w:type="paragraph" w:styleId="Textocomentario">
    <w:name w:val="annotation text"/>
    <w:basedOn w:val="Normal"/>
    <w:link w:val="TextocomentarioCar"/>
    <w:uiPriority w:val="99"/>
    <w:unhideWhenUsed/>
    <w:rsid w:val="00C041CB"/>
    <w:rPr>
      <w:sz w:val="20"/>
      <w:szCs w:val="20"/>
    </w:rPr>
  </w:style>
  <w:style w:type="character" w:customStyle="1" w:styleId="TextocomentarioCar">
    <w:name w:val="Texto comentario Car"/>
    <w:basedOn w:val="Fuentedeprrafopredeter"/>
    <w:link w:val="Textocomentario"/>
    <w:uiPriority w:val="99"/>
    <w:rsid w:val="00C041CB"/>
    <w:rPr>
      <w:sz w:val="20"/>
      <w:szCs w:val="20"/>
    </w:rPr>
  </w:style>
  <w:style w:type="paragraph" w:styleId="Asuntodelcomentario">
    <w:name w:val="annotation subject"/>
    <w:basedOn w:val="Textocomentario"/>
    <w:next w:val="Textocomentario"/>
    <w:link w:val="AsuntodelcomentarioCar"/>
    <w:uiPriority w:val="99"/>
    <w:semiHidden/>
    <w:unhideWhenUsed/>
    <w:rsid w:val="00C041CB"/>
    <w:rPr>
      <w:b/>
      <w:bCs/>
    </w:rPr>
  </w:style>
  <w:style w:type="character" w:customStyle="1" w:styleId="AsuntodelcomentarioCar">
    <w:name w:val="Asunto del comentario Car"/>
    <w:basedOn w:val="TextocomentarioCar"/>
    <w:link w:val="Asuntodelcomentario"/>
    <w:uiPriority w:val="99"/>
    <w:semiHidden/>
    <w:rsid w:val="00C041CB"/>
    <w:rPr>
      <w:b/>
      <w:bCs/>
      <w:sz w:val="20"/>
      <w:szCs w:val="20"/>
    </w:rPr>
  </w:style>
  <w:style w:type="character" w:customStyle="1" w:styleId="DefaultCar">
    <w:name w:val="Default Car"/>
    <w:link w:val="Default"/>
    <w:locked/>
    <w:rsid w:val="00F6139B"/>
    <w:rPr>
      <w:rFonts w:ascii="Arial" w:hAnsi="Arial" w:cs="Arial"/>
      <w:color w:val="000000"/>
      <w:sz w:val="24"/>
      <w:szCs w:val="24"/>
    </w:rPr>
  </w:style>
  <w:style w:type="character" w:customStyle="1" w:styleId="PrrafodelistaCar">
    <w:name w:val="Párrafo de lista Car"/>
    <w:aliases w:val="List Car,Bullets Car,Párrafo de lista1 Car,titulo 3 Car,Ha Car,Bullet List Car,FooterText Car,numbered Car,List Paragraph1 Car,Paragraphe de liste1 Car,lp1 Car,Bulletr List Paragraph Car,Foot Car,列出段落 Car,列出段落1 Car,リスト段落1 Car"/>
    <w:link w:val="Prrafodelista"/>
    <w:uiPriority w:val="34"/>
    <w:qFormat/>
    <w:locked/>
    <w:rsid w:val="00902D4B"/>
  </w:style>
  <w:style w:type="paragraph" w:styleId="Textonotaalfinal">
    <w:name w:val="endnote text"/>
    <w:basedOn w:val="Normal"/>
    <w:link w:val="TextonotaalfinalCar"/>
    <w:uiPriority w:val="99"/>
    <w:semiHidden/>
    <w:unhideWhenUsed/>
    <w:rsid w:val="00F81D71"/>
    <w:rPr>
      <w:sz w:val="20"/>
      <w:szCs w:val="20"/>
    </w:rPr>
  </w:style>
  <w:style w:type="character" w:customStyle="1" w:styleId="TextonotaalfinalCar">
    <w:name w:val="Texto nota al final Car"/>
    <w:basedOn w:val="Fuentedeprrafopredeter"/>
    <w:link w:val="Textonotaalfinal"/>
    <w:uiPriority w:val="99"/>
    <w:semiHidden/>
    <w:rsid w:val="00F81D71"/>
    <w:rPr>
      <w:sz w:val="20"/>
      <w:szCs w:val="20"/>
    </w:rPr>
  </w:style>
  <w:style w:type="character" w:styleId="Refdenotaalfinal">
    <w:name w:val="endnote reference"/>
    <w:basedOn w:val="Fuentedeprrafopredeter"/>
    <w:uiPriority w:val="99"/>
    <w:semiHidden/>
    <w:unhideWhenUsed/>
    <w:rsid w:val="00F81D71"/>
    <w:rPr>
      <w:vertAlign w:val="superscript"/>
    </w:rPr>
  </w:style>
  <w:style w:type="character" w:customStyle="1" w:styleId="Ttulo1Car">
    <w:name w:val="Título 1 Car"/>
    <w:aliases w:val="Nivel 1 Car,Nombre Proyecto Car"/>
    <w:basedOn w:val="Fuentedeprrafopredeter"/>
    <w:link w:val="Ttulo1"/>
    <w:uiPriority w:val="9"/>
    <w:rsid w:val="00E34EC4"/>
    <w:rPr>
      <w:rFonts w:asciiTheme="majorHAnsi" w:eastAsiaTheme="majorEastAsia" w:hAnsiTheme="majorHAnsi" w:cstheme="majorBidi"/>
      <w:color w:val="365F91" w:themeColor="accent1" w:themeShade="BF"/>
      <w:sz w:val="32"/>
      <w:szCs w:val="32"/>
    </w:rPr>
  </w:style>
  <w:style w:type="character" w:customStyle="1" w:styleId="TextonotapieCar">
    <w:name w:val="Texto nota pie Car"/>
    <w:aliases w:val="Footnote Text Char Char Char Char Char Car,Footnote Text Char Char Char Char Car,Footnote reference Car,FA Fu Car,Car3 Car Car Car Car,Car3 Car Car Car Car Car Car Car Car Car Car Car Car,Car Car Car Car,Car C Car"/>
    <w:basedOn w:val="Fuentedeprrafopredeter"/>
    <w:link w:val="Textonotapie"/>
    <w:uiPriority w:val="99"/>
    <w:locked/>
    <w:rsid w:val="00E34EC4"/>
    <w:rPr>
      <w:rFonts w:ascii="Arial" w:eastAsia="Times New Roman" w:hAnsi="Arial" w:cs="Arial"/>
      <w:lang w:val="es-ES" w:eastAsia="es-ES"/>
    </w:rPr>
  </w:style>
  <w:style w:type="paragraph" w:styleId="Textonotapie">
    <w:name w:val="footnote text"/>
    <w:aliases w:val="Footnote Text Char Char Char Char Char,Footnote Text Char Char Char Char,Footnote reference,FA Fu,Car3 Car Car Car,Car3 Car Car Car Car Car Car Car Car Car Car Car,Car3 Car Car Car Car Car Car Car Car Car Car Car Car Car,Car Car Car,Car C"/>
    <w:basedOn w:val="Normal"/>
    <w:link w:val="TextonotapieCar"/>
    <w:uiPriority w:val="99"/>
    <w:unhideWhenUsed/>
    <w:qFormat/>
    <w:rsid w:val="00E34EC4"/>
    <w:rPr>
      <w:rFonts w:ascii="Arial" w:hAnsi="Arial" w:cs="Arial"/>
      <w:lang w:val="es-ES" w:eastAsia="es-ES"/>
    </w:rPr>
  </w:style>
  <w:style w:type="character" w:customStyle="1" w:styleId="TextonotapieCar1">
    <w:name w:val="Texto nota pie Car1"/>
    <w:basedOn w:val="Fuentedeprrafopredeter"/>
    <w:uiPriority w:val="99"/>
    <w:semiHidden/>
    <w:rsid w:val="00E34EC4"/>
    <w:rPr>
      <w:sz w:val="20"/>
      <w:szCs w:val="20"/>
    </w:rPr>
  </w:style>
  <w:style w:type="character" w:styleId="Refdenotaalpie">
    <w:name w:val="footnote reference"/>
    <w:aliases w:val="referencia nota al pie,Texto de nota al pie,Appel note de bas de page,BVI fnr,Ref. de nota al pie2,Nota de pie,Ref,de nota al pie,Footnote symbol,Footnote,Pie de pagina,Referencia nota al pie,BVI fnr Car Car,BVI fnr Car,Footnotes ref"/>
    <w:basedOn w:val="Fuentedeprrafopredeter"/>
    <w:link w:val="BVIfnrCarCarCarCar1"/>
    <w:uiPriority w:val="99"/>
    <w:unhideWhenUsed/>
    <w:qFormat/>
    <w:rsid w:val="00E34EC4"/>
    <w:rPr>
      <w:vertAlign w:val="superscript"/>
    </w:rPr>
  </w:style>
  <w:style w:type="paragraph" w:customStyle="1" w:styleId="BVIfnrCarCarCarCar1">
    <w:name w:val="BVI fnr Car Car Car Car1"/>
    <w:aliases w:val="BVI fnr Car Car Car Car Car Car,BVI fnr Car Car Car Car Char Car Car,Texto de nota al pie Car Car,normal Car Car Car,BVI fnr Car Car1 Car1,BVI fnr Car Car Car Car1 Car1"/>
    <w:basedOn w:val="Normal"/>
    <w:link w:val="Refdenotaalpie"/>
    <w:uiPriority w:val="99"/>
    <w:rsid w:val="00E34EC4"/>
    <w:pPr>
      <w:spacing w:after="160" w:line="240" w:lineRule="exact"/>
    </w:pPr>
    <w:rPr>
      <w:vertAlign w:val="superscript"/>
    </w:rPr>
  </w:style>
  <w:style w:type="character" w:customStyle="1" w:styleId="Ttulo2Car">
    <w:name w:val="Título 2 Car"/>
    <w:basedOn w:val="Fuentedeprrafopredeter"/>
    <w:link w:val="Ttulo2"/>
    <w:uiPriority w:val="9"/>
    <w:rsid w:val="003E27BC"/>
    <w:rPr>
      <w:rFonts w:asciiTheme="majorHAnsi" w:eastAsiaTheme="majorEastAsia" w:hAnsiTheme="majorHAnsi" w:cstheme="majorBidi"/>
      <w:color w:val="365F91" w:themeColor="accent1" w:themeShade="BF"/>
      <w:sz w:val="26"/>
      <w:szCs w:val="26"/>
    </w:rPr>
  </w:style>
  <w:style w:type="character" w:customStyle="1" w:styleId="Ttulo3Car">
    <w:name w:val="Título 3 Car"/>
    <w:basedOn w:val="Fuentedeprrafopredeter"/>
    <w:link w:val="Ttulo3"/>
    <w:uiPriority w:val="9"/>
    <w:semiHidden/>
    <w:rsid w:val="003E27BC"/>
    <w:rPr>
      <w:rFonts w:asciiTheme="majorHAnsi" w:eastAsiaTheme="majorEastAsia" w:hAnsiTheme="majorHAnsi" w:cstheme="majorBidi"/>
      <w:color w:val="243F60" w:themeColor="accent1" w:themeShade="7F"/>
      <w:sz w:val="24"/>
      <w:szCs w:val="24"/>
    </w:rPr>
  </w:style>
  <w:style w:type="paragraph" w:styleId="NormalWeb">
    <w:name w:val="Normal (Web)"/>
    <w:aliases w:val="Normal (Web) Car"/>
    <w:basedOn w:val="Normal"/>
    <w:uiPriority w:val="99"/>
    <w:unhideWhenUsed/>
    <w:rsid w:val="003E27BC"/>
    <w:pPr>
      <w:spacing w:before="100" w:beforeAutospacing="1" w:after="100" w:afterAutospacing="1"/>
    </w:pPr>
    <w:rPr>
      <w:lang w:eastAsia="es-CO"/>
    </w:rPr>
  </w:style>
  <w:style w:type="paragraph" w:styleId="Sinespaciado">
    <w:name w:val="No Spacing"/>
    <w:uiPriority w:val="1"/>
    <w:qFormat/>
    <w:rsid w:val="00047B0B"/>
    <w:pPr>
      <w:spacing w:after="0" w:line="240" w:lineRule="auto"/>
    </w:pPr>
    <w:rPr>
      <w:rFonts w:ascii="Calibri" w:eastAsia="Calibri" w:hAnsi="Calibri" w:cs="Times New Roman"/>
    </w:rPr>
  </w:style>
  <w:style w:type="table" w:styleId="Tablaconcuadrcula">
    <w:name w:val="Table Grid"/>
    <w:basedOn w:val="Tablanormal"/>
    <w:rsid w:val="00B563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A059F4"/>
  </w:style>
  <w:style w:type="paragraph" w:styleId="Textoindependiente">
    <w:name w:val="Body Text"/>
    <w:basedOn w:val="Normal"/>
    <w:link w:val="TextoindependienteCar"/>
    <w:uiPriority w:val="99"/>
    <w:semiHidden/>
    <w:unhideWhenUsed/>
    <w:rsid w:val="008314D7"/>
    <w:pPr>
      <w:spacing w:after="120"/>
    </w:pPr>
    <w:rPr>
      <w:sz w:val="20"/>
      <w:szCs w:val="20"/>
      <w:lang w:val="es-ES" w:eastAsia="es-ES"/>
    </w:rPr>
  </w:style>
  <w:style w:type="character" w:customStyle="1" w:styleId="TextoindependienteCar">
    <w:name w:val="Texto independiente Car"/>
    <w:basedOn w:val="Fuentedeprrafopredeter"/>
    <w:link w:val="Textoindependiente"/>
    <w:uiPriority w:val="99"/>
    <w:semiHidden/>
    <w:rsid w:val="008314D7"/>
    <w:rPr>
      <w:rFonts w:ascii="Times New Roman" w:eastAsia="Times New Roman" w:hAnsi="Times New Roman" w:cs="Times New Roman"/>
      <w:sz w:val="20"/>
      <w:szCs w:val="20"/>
      <w:lang w:val="es-ES" w:eastAsia="es-ES"/>
    </w:rPr>
  </w:style>
  <w:style w:type="paragraph" w:styleId="Descripcin">
    <w:name w:val="caption"/>
    <w:basedOn w:val="Normal"/>
    <w:next w:val="Normal"/>
    <w:uiPriority w:val="35"/>
    <w:unhideWhenUsed/>
    <w:qFormat/>
    <w:rsid w:val="00D50E3D"/>
    <w:pPr>
      <w:spacing w:after="60"/>
      <w:jc w:val="center"/>
    </w:pPr>
    <w:rPr>
      <w:rFonts w:ascii="Arial" w:eastAsia="Calibri" w:hAnsi="Arial"/>
      <w:b/>
      <w:bCs/>
      <w:color w:val="5B9BD5"/>
      <w:sz w:val="16"/>
      <w:szCs w:val="18"/>
      <w:lang w:val="es-ES" w:eastAsia="en-US"/>
    </w:rPr>
  </w:style>
  <w:style w:type="table" w:customStyle="1" w:styleId="NormalTable0">
    <w:name w:val="Normal Table0"/>
    <w:uiPriority w:val="2"/>
    <w:semiHidden/>
    <w:unhideWhenUsed/>
    <w:qFormat/>
    <w:rsid w:val="001245B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245B4"/>
    <w:pPr>
      <w:widowControl w:val="0"/>
      <w:autoSpaceDE w:val="0"/>
      <w:autoSpaceDN w:val="0"/>
    </w:pPr>
    <w:rPr>
      <w:rFonts w:ascii="Microsoft Sans Serif" w:eastAsia="Microsoft Sans Serif" w:hAnsi="Microsoft Sans Serif" w:cs="Microsoft Sans Serif"/>
      <w:sz w:val="22"/>
      <w:szCs w:val="22"/>
      <w:lang w:val="es-ES" w:eastAsia="en-US"/>
    </w:rPr>
  </w:style>
  <w:style w:type="character" w:styleId="nfasis">
    <w:name w:val="Emphasis"/>
    <w:basedOn w:val="Fuentedeprrafopredeter"/>
    <w:uiPriority w:val="20"/>
    <w:qFormat/>
    <w:rsid w:val="009752D9"/>
    <w:rPr>
      <w:i/>
      <w:iCs/>
    </w:rPr>
  </w:style>
  <w:style w:type="character" w:styleId="Mencinsinresolver">
    <w:name w:val="Unresolved Mention"/>
    <w:basedOn w:val="Fuentedeprrafopredeter"/>
    <w:uiPriority w:val="99"/>
    <w:semiHidden/>
    <w:unhideWhenUsed/>
    <w:rsid w:val="00560FD3"/>
    <w:rPr>
      <w:color w:val="605E5C"/>
      <w:shd w:val="clear" w:color="auto" w:fill="E1DFDD"/>
    </w:rPr>
  </w:style>
  <w:style w:type="paragraph" w:customStyle="1" w:styleId="paragraph">
    <w:name w:val="paragraph"/>
    <w:basedOn w:val="Normal"/>
    <w:rsid w:val="75F0A5B8"/>
    <w:pPr>
      <w:spacing w:beforeAutospacing="1" w:afterAutospacing="1"/>
    </w:pPr>
    <w:rPr>
      <w:lang w:eastAsia="es-CO"/>
    </w:rPr>
  </w:style>
  <w:style w:type="character" w:customStyle="1" w:styleId="eop">
    <w:name w:val="eop"/>
    <w:basedOn w:val="Fuentedeprrafopredeter"/>
    <w:rsid w:val="75F0A5B8"/>
  </w:style>
  <w:style w:type="character" w:customStyle="1" w:styleId="normaltextrun">
    <w:name w:val="normaltextrun"/>
    <w:basedOn w:val="Fuentedeprrafopredeter"/>
    <w:rsid w:val="75F0A5B8"/>
  </w:style>
  <w:style w:type="paragraph" w:styleId="Revisin">
    <w:name w:val="Revision"/>
    <w:hidden/>
    <w:uiPriority w:val="99"/>
    <w:semiHidden/>
    <w:rsid w:val="00DA2DDC"/>
    <w:pPr>
      <w:spacing w:after="0" w:line="240" w:lineRule="auto"/>
    </w:pPr>
    <w:rPr>
      <w:rFonts w:ascii="Times New Roman" w:eastAsia="Times New Roman" w:hAnsi="Times New Roman" w:cs="Times New Roman"/>
      <w:sz w:val="24"/>
      <w:szCs w:val="24"/>
      <w:lang w:eastAsia="es-MX"/>
    </w:rPr>
  </w:style>
  <w:style w:type="character" w:styleId="Textoennegrita">
    <w:name w:val="Strong"/>
    <w:basedOn w:val="Fuentedeprrafopredeter"/>
    <w:uiPriority w:val="22"/>
    <w:qFormat/>
    <w:rsid w:val="00E51800"/>
    <w:rPr>
      <w:b/>
      <w:bCs/>
    </w:rPr>
  </w:style>
  <w:style w:type="character" w:styleId="Mencionar">
    <w:name w:val="Mention"/>
    <w:basedOn w:val="Fuentedeprrafopredeter"/>
    <w:uiPriority w:val="99"/>
    <w:unhideWhenUsed/>
    <w:rsid w:val="00424B7B"/>
    <w:rPr>
      <w:color w:val="2B579A"/>
      <w:shd w:val="clear" w:color="auto" w:fill="E1DFDD"/>
    </w:rPr>
  </w:style>
  <w:style w:type="character" w:customStyle="1" w:styleId="Ttulo4Car">
    <w:name w:val="Título 4 Car"/>
    <w:basedOn w:val="Fuentedeprrafopredeter"/>
    <w:link w:val="Ttulo4"/>
    <w:uiPriority w:val="9"/>
    <w:semiHidden/>
    <w:rsid w:val="001F1CC8"/>
    <w:rPr>
      <w:rFonts w:asciiTheme="majorHAnsi" w:eastAsiaTheme="majorEastAsia" w:hAnsiTheme="majorHAnsi" w:cstheme="majorBidi"/>
      <w:i/>
      <w:iCs/>
      <w:color w:val="365F91" w:themeColor="accent1" w:themeShade="BF"/>
      <w:sz w:val="24"/>
      <w:szCs w:val="24"/>
      <w:lang w:eastAsia="es-MX"/>
    </w:rPr>
  </w:style>
  <w:style w:type="table" w:styleId="Tablaconcuadrculaclara">
    <w:name w:val="Grid Table Light"/>
    <w:basedOn w:val="Tablanormal"/>
    <w:uiPriority w:val="40"/>
    <w:rsid w:val="00DD4A3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14294">
      <w:bodyDiv w:val="1"/>
      <w:marLeft w:val="0"/>
      <w:marRight w:val="0"/>
      <w:marTop w:val="0"/>
      <w:marBottom w:val="0"/>
      <w:divBdr>
        <w:top w:val="none" w:sz="0" w:space="0" w:color="auto"/>
        <w:left w:val="none" w:sz="0" w:space="0" w:color="auto"/>
        <w:bottom w:val="none" w:sz="0" w:space="0" w:color="auto"/>
        <w:right w:val="none" w:sz="0" w:space="0" w:color="auto"/>
      </w:divBdr>
      <w:divsChild>
        <w:div w:id="645087735">
          <w:marLeft w:val="0"/>
          <w:marRight w:val="0"/>
          <w:marTop w:val="0"/>
          <w:marBottom w:val="0"/>
          <w:divBdr>
            <w:top w:val="none" w:sz="0" w:space="0" w:color="auto"/>
            <w:left w:val="none" w:sz="0" w:space="0" w:color="auto"/>
            <w:bottom w:val="none" w:sz="0" w:space="0" w:color="auto"/>
            <w:right w:val="none" w:sz="0" w:space="0" w:color="auto"/>
          </w:divBdr>
          <w:divsChild>
            <w:div w:id="2096053256">
              <w:marLeft w:val="0"/>
              <w:marRight w:val="0"/>
              <w:marTop w:val="0"/>
              <w:marBottom w:val="0"/>
              <w:divBdr>
                <w:top w:val="none" w:sz="0" w:space="0" w:color="auto"/>
                <w:left w:val="none" w:sz="0" w:space="0" w:color="auto"/>
                <w:bottom w:val="none" w:sz="0" w:space="0" w:color="auto"/>
                <w:right w:val="none" w:sz="0" w:space="0" w:color="auto"/>
              </w:divBdr>
            </w:div>
          </w:divsChild>
        </w:div>
        <w:div w:id="386684425">
          <w:marLeft w:val="0"/>
          <w:marRight w:val="0"/>
          <w:marTop w:val="0"/>
          <w:marBottom w:val="0"/>
          <w:divBdr>
            <w:top w:val="none" w:sz="0" w:space="0" w:color="auto"/>
            <w:left w:val="none" w:sz="0" w:space="0" w:color="auto"/>
            <w:bottom w:val="none" w:sz="0" w:space="0" w:color="auto"/>
            <w:right w:val="none" w:sz="0" w:space="0" w:color="auto"/>
          </w:divBdr>
          <w:divsChild>
            <w:div w:id="111437074">
              <w:marLeft w:val="0"/>
              <w:marRight w:val="0"/>
              <w:marTop w:val="0"/>
              <w:marBottom w:val="0"/>
              <w:divBdr>
                <w:top w:val="none" w:sz="0" w:space="0" w:color="auto"/>
                <w:left w:val="none" w:sz="0" w:space="0" w:color="auto"/>
                <w:bottom w:val="none" w:sz="0" w:space="0" w:color="auto"/>
                <w:right w:val="none" w:sz="0" w:space="0" w:color="auto"/>
              </w:divBdr>
            </w:div>
          </w:divsChild>
        </w:div>
        <w:div w:id="1625189453">
          <w:marLeft w:val="0"/>
          <w:marRight w:val="0"/>
          <w:marTop w:val="0"/>
          <w:marBottom w:val="0"/>
          <w:divBdr>
            <w:top w:val="none" w:sz="0" w:space="0" w:color="auto"/>
            <w:left w:val="none" w:sz="0" w:space="0" w:color="auto"/>
            <w:bottom w:val="none" w:sz="0" w:space="0" w:color="auto"/>
            <w:right w:val="none" w:sz="0" w:space="0" w:color="auto"/>
          </w:divBdr>
          <w:divsChild>
            <w:div w:id="1469392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78749">
      <w:bodyDiv w:val="1"/>
      <w:marLeft w:val="0"/>
      <w:marRight w:val="0"/>
      <w:marTop w:val="0"/>
      <w:marBottom w:val="0"/>
      <w:divBdr>
        <w:top w:val="none" w:sz="0" w:space="0" w:color="auto"/>
        <w:left w:val="none" w:sz="0" w:space="0" w:color="auto"/>
        <w:bottom w:val="none" w:sz="0" w:space="0" w:color="auto"/>
        <w:right w:val="none" w:sz="0" w:space="0" w:color="auto"/>
      </w:divBdr>
    </w:div>
    <w:div w:id="43331433">
      <w:bodyDiv w:val="1"/>
      <w:marLeft w:val="0"/>
      <w:marRight w:val="0"/>
      <w:marTop w:val="0"/>
      <w:marBottom w:val="0"/>
      <w:divBdr>
        <w:top w:val="none" w:sz="0" w:space="0" w:color="auto"/>
        <w:left w:val="none" w:sz="0" w:space="0" w:color="auto"/>
        <w:bottom w:val="none" w:sz="0" w:space="0" w:color="auto"/>
        <w:right w:val="none" w:sz="0" w:space="0" w:color="auto"/>
      </w:divBdr>
    </w:div>
    <w:div w:id="51316291">
      <w:bodyDiv w:val="1"/>
      <w:marLeft w:val="0"/>
      <w:marRight w:val="0"/>
      <w:marTop w:val="0"/>
      <w:marBottom w:val="0"/>
      <w:divBdr>
        <w:top w:val="none" w:sz="0" w:space="0" w:color="auto"/>
        <w:left w:val="none" w:sz="0" w:space="0" w:color="auto"/>
        <w:bottom w:val="none" w:sz="0" w:space="0" w:color="auto"/>
        <w:right w:val="none" w:sz="0" w:space="0" w:color="auto"/>
      </w:divBdr>
      <w:divsChild>
        <w:div w:id="1286815511">
          <w:marLeft w:val="0"/>
          <w:marRight w:val="0"/>
          <w:marTop w:val="0"/>
          <w:marBottom w:val="0"/>
          <w:divBdr>
            <w:top w:val="none" w:sz="0" w:space="0" w:color="auto"/>
            <w:left w:val="none" w:sz="0" w:space="0" w:color="auto"/>
            <w:bottom w:val="none" w:sz="0" w:space="0" w:color="auto"/>
            <w:right w:val="none" w:sz="0" w:space="0" w:color="auto"/>
          </w:divBdr>
          <w:divsChild>
            <w:div w:id="1491942636">
              <w:marLeft w:val="0"/>
              <w:marRight w:val="0"/>
              <w:marTop w:val="0"/>
              <w:marBottom w:val="0"/>
              <w:divBdr>
                <w:top w:val="none" w:sz="0" w:space="0" w:color="auto"/>
                <w:left w:val="none" w:sz="0" w:space="0" w:color="auto"/>
                <w:bottom w:val="none" w:sz="0" w:space="0" w:color="auto"/>
                <w:right w:val="none" w:sz="0" w:space="0" w:color="auto"/>
              </w:divBdr>
              <w:divsChild>
                <w:div w:id="178812154">
                  <w:marLeft w:val="0"/>
                  <w:marRight w:val="0"/>
                  <w:marTop w:val="0"/>
                  <w:marBottom w:val="0"/>
                  <w:divBdr>
                    <w:top w:val="none" w:sz="0" w:space="0" w:color="auto"/>
                    <w:left w:val="none" w:sz="0" w:space="0" w:color="auto"/>
                    <w:bottom w:val="none" w:sz="0" w:space="0" w:color="auto"/>
                    <w:right w:val="none" w:sz="0" w:space="0" w:color="auto"/>
                  </w:divBdr>
                  <w:divsChild>
                    <w:div w:id="1409232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927869">
      <w:bodyDiv w:val="1"/>
      <w:marLeft w:val="0"/>
      <w:marRight w:val="0"/>
      <w:marTop w:val="0"/>
      <w:marBottom w:val="0"/>
      <w:divBdr>
        <w:top w:val="none" w:sz="0" w:space="0" w:color="auto"/>
        <w:left w:val="none" w:sz="0" w:space="0" w:color="auto"/>
        <w:bottom w:val="none" w:sz="0" w:space="0" w:color="auto"/>
        <w:right w:val="none" w:sz="0" w:space="0" w:color="auto"/>
      </w:divBdr>
      <w:divsChild>
        <w:div w:id="1682466266">
          <w:marLeft w:val="0"/>
          <w:marRight w:val="0"/>
          <w:marTop w:val="0"/>
          <w:marBottom w:val="0"/>
          <w:divBdr>
            <w:top w:val="none" w:sz="0" w:space="0" w:color="auto"/>
            <w:left w:val="none" w:sz="0" w:space="0" w:color="auto"/>
            <w:bottom w:val="none" w:sz="0" w:space="0" w:color="auto"/>
            <w:right w:val="none" w:sz="0" w:space="0" w:color="auto"/>
          </w:divBdr>
          <w:divsChild>
            <w:div w:id="394159767">
              <w:marLeft w:val="0"/>
              <w:marRight w:val="0"/>
              <w:marTop w:val="0"/>
              <w:marBottom w:val="0"/>
              <w:divBdr>
                <w:top w:val="none" w:sz="0" w:space="0" w:color="auto"/>
                <w:left w:val="none" w:sz="0" w:space="0" w:color="auto"/>
                <w:bottom w:val="none" w:sz="0" w:space="0" w:color="auto"/>
                <w:right w:val="none" w:sz="0" w:space="0" w:color="auto"/>
              </w:divBdr>
              <w:divsChild>
                <w:div w:id="676424485">
                  <w:marLeft w:val="0"/>
                  <w:marRight w:val="0"/>
                  <w:marTop w:val="0"/>
                  <w:marBottom w:val="0"/>
                  <w:divBdr>
                    <w:top w:val="none" w:sz="0" w:space="0" w:color="auto"/>
                    <w:left w:val="none" w:sz="0" w:space="0" w:color="auto"/>
                    <w:bottom w:val="none" w:sz="0" w:space="0" w:color="auto"/>
                    <w:right w:val="none" w:sz="0" w:space="0" w:color="auto"/>
                  </w:divBdr>
                  <w:divsChild>
                    <w:div w:id="28339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433951">
      <w:bodyDiv w:val="1"/>
      <w:marLeft w:val="0"/>
      <w:marRight w:val="0"/>
      <w:marTop w:val="0"/>
      <w:marBottom w:val="0"/>
      <w:divBdr>
        <w:top w:val="none" w:sz="0" w:space="0" w:color="auto"/>
        <w:left w:val="none" w:sz="0" w:space="0" w:color="auto"/>
        <w:bottom w:val="none" w:sz="0" w:space="0" w:color="auto"/>
        <w:right w:val="none" w:sz="0" w:space="0" w:color="auto"/>
      </w:divBdr>
    </w:div>
    <w:div w:id="65036455">
      <w:bodyDiv w:val="1"/>
      <w:marLeft w:val="0"/>
      <w:marRight w:val="0"/>
      <w:marTop w:val="0"/>
      <w:marBottom w:val="0"/>
      <w:divBdr>
        <w:top w:val="none" w:sz="0" w:space="0" w:color="auto"/>
        <w:left w:val="none" w:sz="0" w:space="0" w:color="auto"/>
        <w:bottom w:val="none" w:sz="0" w:space="0" w:color="auto"/>
        <w:right w:val="none" w:sz="0" w:space="0" w:color="auto"/>
      </w:divBdr>
      <w:divsChild>
        <w:div w:id="1446002492">
          <w:marLeft w:val="0"/>
          <w:marRight w:val="0"/>
          <w:marTop w:val="0"/>
          <w:marBottom w:val="0"/>
          <w:divBdr>
            <w:top w:val="none" w:sz="0" w:space="0" w:color="auto"/>
            <w:left w:val="none" w:sz="0" w:space="0" w:color="auto"/>
            <w:bottom w:val="none" w:sz="0" w:space="0" w:color="auto"/>
            <w:right w:val="none" w:sz="0" w:space="0" w:color="auto"/>
          </w:divBdr>
          <w:divsChild>
            <w:div w:id="766074752">
              <w:marLeft w:val="0"/>
              <w:marRight w:val="0"/>
              <w:marTop w:val="0"/>
              <w:marBottom w:val="0"/>
              <w:divBdr>
                <w:top w:val="none" w:sz="0" w:space="0" w:color="auto"/>
                <w:left w:val="none" w:sz="0" w:space="0" w:color="auto"/>
                <w:bottom w:val="none" w:sz="0" w:space="0" w:color="auto"/>
                <w:right w:val="none" w:sz="0" w:space="0" w:color="auto"/>
              </w:divBdr>
              <w:divsChild>
                <w:div w:id="428889389">
                  <w:marLeft w:val="0"/>
                  <w:marRight w:val="0"/>
                  <w:marTop w:val="0"/>
                  <w:marBottom w:val="0"/>
                  <w:divBdr>
                    <w:top w:val="none" w:sz="0" w:space="0" w:color="auto"/>
                    <w:left w:val="none" w:sz="0" w:space="0" w:color="auto"/>
                    <w:bottom w:val="none" w:sz="0" w:space="0" w:color="auto"/>
                    <w:right w:val="none" w:sz="0" w:space="0" w:color="auto"/>
                  </w:divBdr>
                  <w:divsChild>
                    <w:div w:id="392123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771748">
      <w:bodyDiv w:val="1"/>
      <w:marLeft w:val="0"/>
      <w:marRight w:val="0"/>
      <w:marTop w:val="0"/>
      <w:marBottom w:val="0"/>
      <w:divBdr>
        <w:top w:val="none" w:sz="0" w:space="0" w:color="auto"/>
        <w:left w:val="none" w:sz="0" w:space="0" w:color="auto"/>
        <w:bottom w:val="none" w:sz="0" w:space="0" w:color="auto"/>
        <w:right w:val="none" w:sz="0" w:space="0" w:color="auto"/>
      </w:divBdr>
      <w:divsChild>
        <w:div w:id="1839154021">
          <w:marLeft w:val="0"/>
          <w:marRight w:val="0"/>
          <w:marTop w:val="0"/>
          <w:marBottom w:val="0"/>
          <w:divBdr>
            <w:top w:val="none" w:sz="0" w:space="0" w:color="auto"/>
            <w:left w:val="none" w:sz="0" w:space="0" w:color="auto"/>
            <w:bottom w:val="none" w:sz="0" w:space="0" w:color="auto"/>
            <w:right w:val="none" w:sz="0" w:space="0" w:color="auto"/>
          </w:divBdr>
          <w:divsChild>
            <w:div w:id="1933201997">
              <w:marLeft w:val="0"/>
              <w:marRight w:val="0"/>
              <w:marTop w:val="0"/>
              <w:marBottom w:val="0"/>
              <w:divBdr>
                <w:top w:val="none" w:sz="0" w:space="0" w:color="auto"/>
                <w:left w:val="none" w:sz="0" w:space="0" w:color="auto"/>
                <w:bottom w:val="none" w:sz="0" w:space="0" w:color="auto"/>
                <w:right w:val="none" w:sz="0" w:space="0" w:color="auto"/>
              </w:divBdr>
              <w:divsChild>
                <w:div w:id="83449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388031">
      <w:bodyDiv w:val="1"/>
      <w:marLeft w:val="0"/>
      <w:marRight w:val="0"/>
      <w:marTop w:val="0"/>
      <w:marBottom w:val="0"/>
      <w:divBdr>
        <w:top w:val="none" w:sz="0" w:space="0" w:color="auto"/>
        <w:left w:val="none" w:sz="0" w:space="0" w:color="auto"/>
        <w:bottom w:val="none" w:sz="0" w:space="0" w:color="auto"/>
        <w:right w:val="none" w:sz="0" w:space="0" w:color="auto"/>
      </w:divBdr>
      <w:divsChild>
        <w:div w:id="338502812">
          <w:marLeft w:val="0"/>
          <w:marRight w:val="0"/>
          <w:marTop w:val="0"/>
          <w:marBottom w:val="0"/>
          <w:divBdr>
            <w:top w:val="none" w:sz="0" w:space="0" w:color="auto"/>
            <w:left w:val="none" w:sz="0" w:space="0" w:color="auto"/>
            <w:bottom w:val="none" w:sz="0" w:space="0" w:color="auto"/>
            <w:right w:val="none" w:sz="0" w:space="0" w:color="auto"/>
          </w:divBdr>
          <w:divsChild>
            <w:div w:id="1235166021">
              <w:marLeft w:val="0"/>
              <w:marRight w:val="0"/>
              <w:marTop w:val="0"/>
              <w:marBottom w:val="0"/>
              <w:divBdr>
                <w:top w:val="none" w:sz="0" w:space="0" w:color="auto"/>
                <w:left w:val="none" w:sz="0" w:space="0" w:color="auto"/>
                <w:bottom w:val="none" w:sz="0" w:space="0" w:color="auto"/>
                <w:right w:val="none" w:sz="0" w:space="0" w:color="auto"/>
              </w:divBdr>
              <w:divsChild>
                <w:div w:id="1301038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312405">
      <w:bodyDiv w:val="1"/>
      <w:marLeft w:val="0"/>
      <w:marRight w:val="0"/>
      <w:marTop w:val="0"/>
      <w:marBottom w:val="0"/>
      <w:divBdr>
        <w:top w:val="none" w:sz="0" w:space="0" w:color="auto"/>
        <w:left w:val="none" w:sz="0" w:space="0" w:color="auto"/>
        <w:bottom w:val="none" w:sz="0" w:space="0" w:color="auto"/>
        <w:right w:val="none" w:sz="0" w:space="0" w:color="auto"/>
      </w:divBdr>
      <w:divsChild>
        <w:div w:id="1998874378">
          <w:marLeft w:val="0"/>
          <w:marRight w:val="0"/>
          <w:marTop w:val="0"/>
          <w:marBottom w:val="0"/>
          <w:divBdr>
            <w:top w:val="none" w:sz="0" w:space="0" w:color="auto"/>
            <w:left w:val="none" w:sz="0" w:space="0" w:color="auto"/>
            <w:bottom w:val="none" w:sz="0" w:space="0" w:color="auto"/>
            <w:right w:val="none" w:sz="0" w:space="0" w:color="auto"/>
          </w:divBdr>
          <w:divsChild>
            <w:div w:id="95946926">
              <w:marLeft w:val="0"/>
              <w:marRight w:val="0"/>
              <w:marTop w:val="0"/>
              <w:marBottom w:val="0"/>
              <w:divBdr>
                <w:top w:val="none" w:sz="0" w:space="0" w:color="auto"/>
                <w:left w:val="none" w:sz="0" w:space="0" w:color="auto"/>
                <w:bottom w:val="none" w:sz="0" w:space="0" w:color="auto"/>
                <w:right w:val="none" w:sz="0" w:space="0" w:color="auto"/>
              </w:divBdr>
              <w:divsChild>
                <w:div w:id="1024357114">
                  <w:marLeft w:val="0"/>
                  <w:marRight w:val="0"/>
                  <w:marTop w:val="0"/>
                  <w:marBottom w:val="0"/>
                  <w:divBdr>
                    <w:top w:val="none" w:sz="0" w:space="0" w:color="auto"/>
                    <w:left w:val="none" w:sz="0" w:space="0" w:color="auto"/>
                    <w:bottom w:val="none" w:sz="0" w:space="0" w:color="auto"/>
                    <w:right w:val="none" w:sz="0" w:space="0" w:color="auto"/>
                  </w:divBdr>
                  <w:divsChild>
                    <w:div w:id="1502430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624200">
      <w:bodyDiv w:val="1"/>
      <w:marLeft w:val="0"/>
      <w:marRight w:val="0"/>
      <w:marTop w:val="0"/>
      <w:marBottom w:val="0"/>
      <w:divBdr>
        <w:top w:val="none" w:sz="0" w:space="0" w:color="auto"/>
        <w:left w:val="none" w:sz="0" w:space="0" w:color="auto"/>
        <w:bottom w:val="none" w:sz="0" w:space="0" w:color="auto"/>
        <w:right w:val="none" w:sz="0" w:space="0" w:color="auto"/>
      </w:divBdr>
      <w:divsChild>
        <w:div w:id="380129317">
          <w:marLeft w:val="0"/>
          <w:marRight w:val="0"/>
          <w:marTop w:val="0"/>
          <w:marBottom w:val="0"/>
          <w:divBdr>
            <w:top w:val="none" w:sz="0" w:space="0" w:color="auto"/>
            <w:left w:val="none" w:sz="0" w:space="0" w:color="auto"/>
            <w:bottom w:val="none" w:sz="0" w:space="0" w:color="auto"/>
            <w:right w:val="none" w:sz="0" w:space="0" w:color="auto"/>
          </w:divBdr>
        </w:div>
        <w:div w:id="719982199">
          <w:marLeft w:val="0"/>
          <w:marRight w:val="0"/>
          <w:marTop w:val="0"/>
          <w:marBottom w:val="0"/>
          <w:divBdr>
            <w:top w:val="none" w:sz="0" w:space="0" w:color="auto"/>
            <w:left w:val="none" w:sz="0" w:space="0" w:color="auto"/>
            <w:bottom w:val="none" w:sz="0" w:space="0" w:color="auto"/>
            <w:right w:val="none" w:sz="0" w:space="0" w:color="auto"/>
          </w:divBdr>
        </w:div>
      </w:divsChild>
    </w:div>
    <w:div w:id="111215153">
      <w:bodyDiv w:val="1"/>
      <w:marLeft w:val="0"/>
      <w:marRight w:val="0"/>
      <w:marTop w:val="0"/>
      <w:marBottom w:val="0"/>
      <w:divBdr>
        <w:top w:val="none" w:sz="0" w:space="0" w:color="auto"/>
        <w:left w:val="none" w:sz="0" w:space="0" w:color="auto"/>
        <w:bottom w:val="none" w:sz="0" w:space="0" w:color="auto"/>
        <w:right w:val="none" w:sz="0" w:space="0" w:color="auto"/>
      </w:divBdr>
    </w:div>
    <w:div w:id="115150604">
      <w:bodyDiv w:val="1"/>
      <w:marLeft w:val="0"/>
      <w:marRight w:val="0"/>
      <w:marTop w:val="0"/>
      <w:marBottom w:val="0"/>
      <w:divBdr>
        <w:top w:val="none" w:sz="0" w:space="0" w:color="auto"/>
        <w:left w:val="none" w:sz="0" w:space="0" w:color="auto"/>
        <w:bottom w:val="none" w:sz="0" w:space="0" w:color="auto"/>
        <w:right w:val="none" w:sz="0" w:space="0" w:color="auto"/>
      </w:divBdr>
      <w:divsChild>
        <w:div w:id="628632185">
          <w:marLeft w:val="0"/>
          <w:marRight w:val="0"/>
          <w:marTop w:val="0"/>
          <w:marBottom w:val="0"/>
          <w:divBdr>
            <w:top w:val="none" w:sz="0" w:space="0" w:color="auto"/>
            <w:left w:val="none" w:sz="0" w:space="0" w:color="auto"/>
            <w:bottom w:val="none" w:sz="0" w:space="0" w:color="auto"/>
            <w:right w:val="none" w:sz="0" w:space="0" w:color="auto"/>
          </w:divBdr>
          <w:divsChild>
            <w:div w:id="688218683">
              <w:marLeft w:val="0"/>
              <w:marRight w:val="0"/>
              <w:marTop w:val="0"/>
              <w:marBottom w:val="0"/>
              <w:divBdr>
                <w:top w:val="none" w:sz="0" w:space="0" w:color="auto"/>
                <w:left w:val="none" w:sz="0" w:space="0" w:color="auto"/>
                <w:bottom w:val="none" w:sz="0" w:space="0" w:color="auto"/>
                <w:right w:val="none" w:sz="0" w:space="0" w:color="auto"/>
              </w:divBdr>
              <w:divsChild>
                <w:div w:id="401300167">
                  <w:marLeft w:val="0"/>
                  <w:marRight w:val="0"/>
                  <w:marTop w:val="0"/>
                  <w:marBottom w:val="0"/>
                  <w:divBdr>
                    <w:top w:val="none" w:sz="0" w:space="0" w:color="auto"/>
                    <w:left w:val="none" w:sz="0" w:space="0" w:color="auto"/>
                    <w:bottom w:val="none" w:sz="0" w:space="0" w:color="auto"/>
                    <w:right w:val="none" w:sz="0" w:space="0" w:color="auto"/>
                  </w:divBdr>
                  <w:divsChild>
                    <w:div w:id="338193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124457">
      <w:bodyDiv w:val="1"/>
      <w:marLeft w:val="0"/>
      <w:marRight w:val="0"/>
      <w:marTop w:val="0"/>
      <w:marBottom w:val="0"/>
      <w:divBdr>
        <w:top w:val="none" w:sz="0" w:space="0" w:color="auto"/>
        <w:left w:val="none" w:sz="0" w:space="0" w:color="auto"/>
        <w:bottom w:val="none" w:sz="0" w:space="0" w:color="auto"/>
        <w:right w:val="none" w:sz="0" w:space="0" w:color="auto"/>
      </w:divBdr>
    </w:div>
    <w:div w:id="126364403">
      <w:bodyDiv w:val="1"/>
      <w:marLeft w:val="0"/>
      <w:marRight w:val="0"/>
      <w:marTop w:val="0"/>
      <w:marBottom w:val="0"/>
      <w:divBdr>
        <w:top w:val="none" w:sz="0" w:space="0" w:color="auto"/>
        <w:left w:val="none" w:sz="0" w:space="0" w:color="auto"/>
        <w:bottom w:val="none" w:sz="0" w:space="0" w:color="auto"/>
        <w:right w:val="none" w:sz="0" w:space="0" w:color="auto"/>
      </w:divBdr>
      <w:divsChild>
        <w:div w:id="2090419051">
          <w:marLeft w:val="0"/>
          <w:marRight w:val="0"/>
          <w:marTop w:val="0"/>
          <w:marBottom w:val="0"/>
          <w:divBdr>
            <w:top w:val="none" w:sz="0" w:space="0" w:color="auto"/>
            <w:left w:val="none" w:sz="0" w:space="0" w:color="auto"/>
            <w:bottom w:val="none" w:sz="0" w:space="0" w:color="auto"/>
            <w:right w:val="none" w:sz="0" w:space="0" w:color="auto"/>
          </w:divBdr>
          <w:divsChild>
            <w:div w:id="838812299">
              <w:marLeft w:val="0"/>
              <w:marRight w:val="0"/>
              <w:marTop w:val="0"/>
              <w:marBottom w:val="0"/>
              <w:divBdr>
                <w:top w:val="none" w:sz="0" w:space="0" w:color="auto"/>
                <w:left w:val="none" w:sz="0" w:space="0" w:color="auto"/>
                <w:bottom w:val="none" w:sz="0" w:space="0" w:color="auto"/>
                <w:right w:val="none" w:sz="0" w:space="0" w:color="auto"/>
              </w:divBdr>
              <w:divsChild>
                <w:div w:id="208878894">
                  <w:marLeft w:val="0"/>
                  <w:marRight w:val="0"/>
                  <w:marTop w:val="0"/>
                  <w:marBottom w:val="0"/>
                  <w:divBdr>
                    <w:top w:val="none" w:sz="0" w:space="0" w:color="auto"/>
                    <w:left w:val="none" w:sz="0" w:space="0" w:color="auto"/>
                    <w:bottom w:val="none" w:sz="0" w:space="0" w:color="auto"/>
                    <w:right w:val="none" w:sz="0" w:space="0" w:color="auto"/>
                  </w:divBdr>
                  <w:divsChild>
                    <w:div w:id="2074548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204683">
      <w:bodyDiv w:val="1"/>
      <w:marLeft w:val="0"/>
      <w:marRight w:val="0"/>
      <w:marTop w:val="0"/>
      <w:marBottom w:val="0"/>
      <w:divBdr>
        <w:top w:val="none" w:sz="0" w:space="0" w:color="auto"/>
        <w:left w:val="none" w:sz="0" w:space="0" w:color="auto"/>
        <w:bottom w:val="none" w:sz="0" w:space="0" w:color="auto"/>
        <w:right w:val="none" w:sz="0" w:space="0" w:color="auto"/>
      </w:divBdr>
      <w:divsChild>
        <w:div w:id="475882817">
          <w:marLeft w:val="0"/>
          <w:marRight w:val="0"/>
          <w:marTop w:val="0"/>
          <w:marBottom w:val="0"/>
          <w:divBdr>
            <w:top w:val="none" w:sz="0" w:space="0" w:color="auto"/>
            <w:left w:val="none" w:sz="0" w:space="0" w:color="auto"/>
            <w:bottom w:val="none" w:sz="0" w:space="0" w:color="auto"/>
            <w:right w:val="none" w:sz="0" w:space="0" w:color="auto"/>
          </w:divBdr>
          <w:divsChild>
            <w:div w:id="1615018712">
              <w:marLeft w:val="0"/>
              <w:marRight w:val="0"/>
              <w:marTop w:val="0"/>
              <w:marBottom w:val="0"/>
              <w:divBdr>
                <w:top w:val="none" w:sz="0" w:space="0" w:color="auto"/>
                <w:left w:val="none" w:sz="0" w:space="0" w:color="auto"/>
                <w:bottom w:val="none" w:sz="0" w:space="0" w:color="auto"/>
                <w:right w:val="none" w:sz="0" w:space="0" w:color="auto"/>
              </w:divBdr>
              <w:divsChild>
                <w:div w:id="1986465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330873">
      <w:bodyDiv w:val="1"/>
      <w:marLeft w:val="0"/>
      <w:marRight w:val="0"/>
      <w:marTop w:val="0"/>
      <w:marBottom w:val="0"/>
      <w:divBdr>
        <w:top w:val="none" w:sz="0" w:space="0" w:color="auto"/>
        <w:left w:val="none" w:sz="0" w:space="0" w:color="auto"/>
        <w:bottom w:val="none" w:sz="0" w:space="0" w:color="auto"/>
        <w:right w:val="none" w:sz="0" w:space="0" w:color="auto"/>
      </w:divBdr>
    </w:div>
    <w:div w:id="189227694">
      <w:bodyDiv w:val="1"/>
      <w:marLeft w:val="0"/>
      <w:marRight w:val="0"/>
      <w:marTop w:val="0"/>
      <w:marBottom w:val="0"/>
      <w:divBdr>
        <w:top w:val="none" w:sz="0" w:space="0" w:color="auto"/>
        <w:left w:val="none" w:sz="0" w:space="0" w:color="auto"/>
        <w:bottom w:val="none" w:sz="0" w:space="0" w:color="auto"/>
        <w:right w:val="none" w:sz="0" w:space="0" w:color="auto"/>
      </w:divBdr>
      <w:divsChild>
        <w:div w:id="961880580">
          <w:marLeft w:val="0"/>
          <w:marRight w:val="0"/>
          <w:marTop w:val="0"/>
          <w:marBottom w:val="0"/>
          <w:divBdr>
            <w:top w:val="none" w:sz="0" w:space="0" w:color="auto"/>
            <w:left w:val="none" w:sz="0" w:space="0" w:color="auto"/>
            <w:bottom w:val="none" w:sz="0" w:space="0" w:color="auto"/>
            <w:right w:val="none" w:sz="0" w:space="0" w:color="auto"/>
          </w:divBdr>
          <w:divsChild>
            <w:div w:id="1530411180">
              <w:marLeft w:val="0"/>
              <w:marRight w:val="0"/>
              <w:marTop w:val="0"/>
              <w:marBottom w:val="0"/>
              <w:divBdr>
                <w:top w:val="none" w:sz="0" w:space="0" w:color="auto"/>
                <w:left w:val="none" w:sz="0" w:space="0" w:color="auto"/>
                <w:bottom w:val="none" w:sz="0" w:space="0" w:color="auto"/>
                <w:right w:val="none" w:sz="0" w:space="0" w:color="auto"/>
              </w:divBdr>
              <w:divsChild>
                <w:div w:id="1872841379">
                  <w:marLeft w:val="0"/>
                  <w:marRight w:val="0"/>
                  <w:marTop w:val="0"/>
                  <w:marBottom w:val="0"/>
                  <w:divBdr>
                    <w:top w:val="none" w:sz="0" w:space="0" w:color="auto"/>
                    <w:left w:val="none" w:sz="0" w:space="0" w:color="auto"/>
                    <w:bottom w:val="none" w:sz="0" w:space="0" w:color="auto"/>
                    <w:right w:val="none" w:sz="0" w:space="0" w:color="auto"/>
                  </w:divBdr>
                  <w:divsChild>
                    <w:div w:id="439834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454610">
      <w:bodyDiv w:val="1"/>
      <w:marLeft w:val="0"/>
      <w:marRight w:val="0"/>
      <w:marTop w:val="0"/>
      <w:marBottom w:val="0"/>
      <w:divBdr>
        <w:top w:val="none" w:sz="0" w:space="0" w:color="auto"/>
        <w:left w:val="none" w:sz="0" w:space="0" w:color="auto"/>
        <w:bottom w:val="none" w:sz="0" w:space="0" w:color="auto"/>
        <w:right w:val="none" w:sz="0" w:space="0" w:color="auto"/>
      </w:divBdr>
      <w:divsChild>
        <w:div w:id="118037142">
          <w:marLeft w:val="0"/>
          <w:marRight w:val="0"/>
          <w:marTop w:val="0"/>
          <w:marBottom w:val="0"/>
          <w:divBdr>
            <w:top w:val="none" w:sz="0" w:space="0" w:color="auto"/>
            <w:left w:val="none" w:sz="0" w:space="0" w:color="auto"/>
            <w:bottom w:val="none" w:sz="0" w:space="0" w:color="auto"/>
            <w:right w:val="none" w:sz="0" w:space="0" w:color="auto"/>
          </w:divBdr>
          <w:divsChild>
            <w:div w:id="1251237344">
              <w:marLeft w:val="0"/>
              <w:marRight w:val="0"/>
              <w:marTop w:val="0"/>
              <w:marBottom w:val="0"/>
              <w:divBdr>
                <w:top w:val="none" w:sz="0" w:space="0" w:color="auto"/>
                <w:left w:val="none" w:sz="0" w:space="0" w:color="auto"/>
                <w:bottom w:val="none" w:sz="0" w:space="0" w:color="auto"/>
                <w:right w:val="none" w:sz="0" w:space="0" w:color="auto"/>
              </w:divBdr>
              <w:divsChild>
                <w:div w:id="1225409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9030784">
      <w:bodyDiv w:val="1"/>
      <w:marLeft w:val="0"/>
      <w:marRight w:val="0"/>
      <w:marTop w:val="0"/>
      <w:marBottom w:val="0"/>
      <w:divBdr>
        <w:top w:val="none" w:sz="0" w:space="0" w:color="auto"/>
        <w:left w:val="none" w:sz="0" w:space="0" w:color="auto"/>
        <w:bottom w:val="none" w:sz="0" w:space="0" w:color="auto"/>
        <w:right w:val="none" w:sz="0" w:space="0" w:color="auto"/>
      </w:divBdr>
    </w:div>
    <w:div w:id="272827428">
      <w:bodyDiv w:val="1"/>
      <w:marLeft w:val="0"/>
      <w:marRight w:val="0"/>
      <w:marTop w:val="0"/>
      <w:marBottom w:val="0"/>
      <w:divBdr>
        <w:top w:val="none" w:sz="0" w:space="0" w:color="auto"/>
        <w:left w:val="none" w:sz="0" w:space="0" w:color="auto"/>
        <w:bottom w:val="none" w:sz="0" w:space="0" w:color="auto"/>
        <w:right w:val="none" w:sz="0" w:space="0" w:color="auto"/>
      </w:divBdr>
    </w:div>
    <w:div w:id="277106618">
      <w:bodyDiv w:val="1"/>
      <w:marLeft w:val="0"/>
      <w:marRight w:val="0"/>
      <w:marTop w:val="0"/>
      <w:marBottom w:val="0"/>
      <w:divBdr>
        <w:top w:val="none" w:sz="0" w:space="0" w:color="auto"/>
        <w:left w:val="none" w:sz="0" w:space="0" w:color="auto"/>
        <w:bottom w:val="none" w:sz="0" w:space="0" w:color="auto"/>
        <w:right w:val="none" w:sz="0" w:space="0" w:color="auto"/>
      </w:divBdr>
    </w:div>
    <w:div w:id="281957311">
      <w:bodyDiv w:val="1"/>
      <w:marLeft w:val="0"/>
      <w:marRight w:val="0"/>
      <w:marTop w:val="0"/>
      <w:marBottom w:val="0"/>
      <w:divBdr>
        <w:top w:val="none" w:sz="0" w:space="0" w:color="auto"/>
        <w:left w:val="none" w:sz="0" w:space="0" w:color="auto"/>
        <w:bottom w:val="none" w:sz="0" w:space="0" w:color="auto"/>
        <w:right w:val="none" w:sz="0" w:space="0" w:color="auto"/>
      </w:divBdr>
      <w:divsChild>
        <w:div w:id="35273576">
          <w:marLeft w:val="0"/>
          <w:marRight w:val="0"/>
          <w:marTop w:val="0"/>
          <w:marBottom w:val="0"/>
          <w:divBdr>
            <w:top w:val="none" w:sz="0" w:space="0" w:color="auto"/>
            <w:left w:val="none" w:sz="0" w:space="0" w:color="auto"/>
            <w:bottom w:val="none" w:sz="0" w:space="0" w:color="auto"/>
            <w:right w:val="none" w:sz="0" w:space="0" w:color="auto"/>
          </w:divBdr>
          <w:divsChild>
            <w:div w:id="1927105151">
              <w:marLeft w:val="0"/>
              <w:marRight w:val="0"/>
              <w:marTop w:val="0"/>
              <w:marBottom w:val="0"/>
              <w:divBdr>
                <w:top w:val="none" w:sz="0" w:space="0" w:color="auto"/>
                <w:left w:val="none" w:sz="0" w:space="0" w:color="auto"/>
                <w:bottom w:val="none" w:sz="0" w:space="0" w:color="auto"/>
                <w:right w:val="none" w:sz="0" w:space="0" w:color="auto"/>
              </w:divBdr>
              <w:divsChild>
                <w:div w:id="1518815624">
                  <w:marLeft w:val="0"/>
                  <w:marRight w:val="0"/>
                  <w:marTop w:val="0"/>
                  <w:marBottom w:val="0"/>
                  <w:divBdr>
                    <w:top w:val="none" w:sz="0" w:space="0" w:color="auto"/>
                    <w:left w:val="none" w:sz="0" w:space="0" w:color="auto"/>
                    <w:bottom w:val="none" w:sz="0" w:space="0" w:color="auto"/>
                    <w:right w:val="none" w:sz="0" w:space="0" w:color="auto"/>
                  </w:divBdr>
                  <w:divsChild>
                    <w:div w:id="1763648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2463002">
      <w:bodyDiv w:val="1"/>
      <w:marLeft w:val="0"/>
      <w:marRight w:val="0"/>
      <w:marTop w:val="0"/>
      <w:marBottom w:val="0"/>
      <w:divBdr>
        <w:top w:val="none" w:sz="0" w:space="0" w:color="auto"/>
        <w:left w:val="none" w:sz="0" w:space="0" w:color="auto"/>
        <w:bottom w:val="none" w:sz="0" w:space="0" w:color="auto"/>
        <w:right w:val="none" w:sz="0" w:space="0" w:color="auto"/>
      </w:divBdr>
    </w:div>
    <w:div w:id="290795039">
      <w:bodyDiv w:val="1"/>
      <w:marLeft w:val="0"/>
      <w:marRight w:val="0"/>
      <w:marTop w:val="0"/>
      <w:marBottom w:val="0"/>
      <w:divBdr>
        <w:top w:val="none" w:sz="0" w:space="0" w:color="auto"/>
        <w:left w:val="none" w:sz="0" w:space="0" w:color="auto"/>
        <w:bottom w:val="none" w:sz="0" w:space="0" w:color="auto"/>
        <w:right w:val="none" w:sz="0" w:space="0" w:color="auto"/>
      </w:divBdr>
    </w:div>
    <w:div w:id="296497147">
      <w:bodyDiv w:val="1"/>
      <w:marLeft w:val="0"/>
      <w:marRight w:val="0"/>
      <w:marTop w:val="0"/>
      <w:marBottom w:val="0"/>
      <w:divBdr>
        <w:top w:val="none" w:sz="0" w:space="0" w:color="auto"/>
        <w:left w:val="none" w:sz="0" w:space="0" w:color="auto"/>
        <w:bottom w:val="none" w:sz="0" w:space="0" w:color="auto"/>
        <w:right w:val="none" w:sz="0" w:space="0" w:color="auto"/>
      </w:divBdr>
      <w:divsChild>
        <w:div w:id="787092855">
          <w:marLeft w:val="0"/>
          <w:marRight w:val="0"/>
          <w:marTop w:val="0"/>
          <w:marBottom w:val="0"/>
          <w:divBdr>
            <w:top w:val="none" w:sz="0" w:space="0" w:color="auto"/>
            <w:left w:val="none" w:sz="0" w:space="0" w:color="auto"/>
            <w:bottom w:val="none" w:sz="0" w:space="0" w:color="auto"/>
            <w:right w:val="none" w:sz="0" w:space="0" w:color="auto"/>
          </w:divBdr>
          <w:divsChild>
            <w:div w:id="305010601">
              <w:marLeft w:val="0"/>
              <w:marRight w:val="0"/>
              <w:marTop w:val="0"/>
              <w:marBottom w:val="0"/>
              <w:divBdr>
                <w:top w:val="none" w:sz="0" w:space="0" w:color="auto"/>
                <w:left w:val="none" w:sz="0" w:space="0" w:color="auto"/>
                <w:bottom w:val="none" w:sz="0" w:space="0" w:color="auto"/>
                <w:right w:val="none" w:sz="0" w:space="0" w:color="auto"/>
              </w:divBdr>
              <w:divsChild>
                <w:div w:id="139348060">
                  <w:marLeft w:val="0"/>
                  <w:marRight w:val="0"/>
                  <w:marTop w:val="0"/>
                  <w:marBottom w:val="0"/>
                  <w:divBdr>
                    <w:top w:val="none" w:sz="0" w:space="0" w:color="auto"/>
                    <w:left w:val="none" w:sz="0" w:space="0" w:color="auto"/>
                    <w:bottom w:val="none" w:sz="0" w:space="0" w:color="auto"/>
                    <w:right w:val="none" w:sz="0" w:space="0" w:color="auto"/>
                  </w:divBdr>
                  <w:divsChild>
                    <w:div w:id="2056081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0566198">
      <w:bodyDiv w:val="1"/>
      <w:marLeft w:val="0"/>
      <w:marRight w:val="0"/>
      <w:marTop w:val="0"/>
      <w:marBottom w:val="0"/>
      <w:divBdr>
        <w:top w:val="none" w:sz="0" w:space="0" w:color="auto"/>
        <w:left w:val="none" w:sz="0" w:space="0" w:color="auto"/>
        <w:bottom w:val="none" w:sz="0" w:space="0" w:color="auto"/>
        <w:right w:val="none" w:sz="0" w:space="0" w:color="auto"/>
      </w:divBdr>
    </w:div>
    <w:div w:id="331644121">
      <w:bodyDiv w:val="1"/>
      <w:marLeft w:val="0"/>
      <w:marRight w:val="0"/>
      <w:marTop w:val="0"/>
      <w:marBottom w:val="0"/>
      <w:divBdr>
        <w:top w:val="none" w:sz="0" w:space="0" w:color="auto"/>
        <w:left w:val="none" w:sz="0" w:space="0" w:color="auto"/>
        <w:bottom w:val="none" w:sz="0" w:space="0" w:color="auto"/>
        <w:right w:val="none" w:sz="0" w:space="0" w:color="auto"/>
      </w:divBdr>
      <w:divsChild>
        <w:div w:id="997267688">
          <w:marLeft w:val="0"/>
          <w:marRight w:val="0"/>
          <w:marTop w:val="0"/>
          <w:marBottom w:val="0"/>
          <w:divBdr>
            <w:top w:val="none" w:sz="0" w:space="0" w:color="auto"/>
            <w:left w:val="none" w:sz="0" w:space="0" w:color="auto"/>
            <w:bottom w:val="none" w:sz="0" w:space="0" w:color="auto"/>
            <w:right w:val="none" w:sz="0" w:space="0" w:color="auto"/>
          </w:divBdr>
          <w:divsChild>
            <w:div w:id="236063476">
              <w:marLeft w:val="0"/>
              <w:marRight w:val="0"/>
              <w:marTop w:val="0"/>
              <w:marBottom w:val="0"/>
              <w:divBdr>
                <w:top w:val="none" w:sz="0" w:space="0" w:color="auto"/>
                <w:left w:val="none" w:sz="0" w:space="0" w:color="auto"/>
                <w:bottom w:val="none" w:sz="0" w:space="0" w:color="auto"/>
                <w:right w:val="none" w:sz="0" w:space="0" w:color="auto"/>
              </w:divBdr>
              <w:divsChild>
                <w:div w:id="1051997458">
                  <w:marLeft w:val="0"/>
                  <w:marRight w:val="0"/>
                  <w:marTop w:val="0"/>
                  <w:marBottom w:val="0"/>
                  <w:divBdr>
                    <w:top w:val="none" w:sz="0" w:space="0" w:color="auto"/>
                    <w:left w:val="none" w:sz="0" w:space="0" w:color="auto"/>
                    <w:bottom w:val="none" w:sz="0" w:space="0" w:color="auto"/>
                    <w:right w:val="none" w:sz="0" w:space="0" w:color="auto"/>
                  </w:divBdr>
                  <w:divsChild>
                    <w:div w:id="6810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5957586">
      <w:bodyDiv w:val="1"/>
      <w:marLeft w:val="0"/>
      <w:marRight w:val="0"/>
      <w:marTop w:val="0"/>
      <w:marBottom w:val="0"/>
      <w:divBdr>
        <w:top w:val="none" w:sz="0" w:space="0" w:color="auto"/>
        <w:left w:val="none" w:sz="0" w:space="0" w:color="auto"/>
        <w:bottom w:val="none" w:sz="0" w:space="0" w:color="auto"/>
        <w:right w:val="none" w:sz="0" w:space="0" w:color="auto"/>
      </w:divBdr>
      <w:divsChild>
        <w:div w:id="1802914735">
          <w:marLeft w:val="0"/>
          <w:marRight w:val="0"/>
          <w:marTop w:val="0"/>
          <w:marBottom w:val="0"/>
          <w:divBdr>
            <w:top w:val="none" w:sz="0" w:space="0" w:color="auto"/>
            <w:left w:val="none" w:sz="0" w:space="0" w:color="auto"/>
            <w:bottom w:val="none" w:sz="0" w:space="0" w:color="auto"/>
            <w:right w:val="none" w:sz="0" w:space="0" w:color="auto"/>
          </w:divBdr>
          <w:divsChild>
            <w:div w:id="287011404">
              <w:marLeft w:val="0"/>
              <w:marRight w:val="0"/>
              <w:marTop w:val="0"/>
              <w:marBottom w:val="0"/>
              <w:divBdr>
                <w:top w:val="none" w:sz="0" w:space="0" w:color="auto"/>
                <w:left w:val="none" w:sz="0" w:space="0" w:color="auto"/>
                <w:bottom w:val="none" w:sz="0" w:space="0" w:color="auto"/>
                <w:right w:val="none" w:sz="0" w:space="0" w:color="auto"/>
              </w:divBdr>
              <w:divsChild>
                <w:div w:id="412236768">
                  <w:marLeft w:val="0"/>
                  <w:marRight w:val="0"/>
                  <w:marTop w:val="0"/>
                  <w:marBottom w:val="0"/>
                  <w:divBdr>
                    <w:top w:val="none" w:sz="0" w:space="0" w:color="auto"/>
                    <w:left w:val="none" w:sz="0" w:space="0" w:color="auto"/>
                    <w:bottom w:val="none" w:sz="0" w:space="0" w:color="auto"/>
                    <w:right w:val="none" w:sz="0" w:space="0" w:color="auto"/>
                  </w:divBdr>
                  <w:divsChild>
                    <w:div w:id="1960721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9429573">
      <w:bodyDiv w:val="1"/>
      <w:marLeft w:val="0"/>
      <w:marRight w:val="0"/>
      <w:marTop w:val="0"/>
      <w:marBottom w:val="0"/>
      <w:divBdr>
        <w:top w:val="none" w:sz="0" w:space="0" w:color="auto"/>
        <w:left w:val="none" w:sz="0" w:space="0" w:color="auto"/>
        <w:bottom w:val="none" w:sz="0" w:space="0" w:color="auto"/>
        <w:right w:val="none" w:sz="0" w:space="0" w:color="auto"/>
      </w:divBdr>
      <w:divsChild>
        <w:div w:id="2085056864">
          <w:marLeft w:val="0"/>
          <w:marRight w:val="0"/>
          <w:marTop w:val="0"/>
          <w:marBottom w:val="0"/>
          <w:divBdr>
            <w:top w:val="none" w:sz="0" w:space="0" w:color="auto"/>
            <w:left w:val="none" w:sz="0" w:space="0" w:color="auto"/>
            <w:bottom w:val="none" w:sz="0" w:space="0" w:color="auto"/>
            <w:right w:val="none" w:sz="0" w:space="0" w:color="auto"/>
          </w:divBdr>
          <w:divsChild>
            <w:div w:id="732658890">
              <w:marLeft w:val="0"/>
              <w:marRight w:val="0"/>
              <w:marTop w:val="0"/>
              <w:marBottom w:val="0"/>
              <w:divBdr>
                <w:top w:val="none" w:sz="0" w:space="0" w:color="auto"/>
                <w:left w:val="none" w:sz="0" w:space="0" w:color="auto"/>
                <w:bottom w:val="none" w:sz="0" w:space="0" w:color="auto"/>
                <w:right w:val="none" w:sz="0" w:space="0" w:color="auto"/>
              </w:divBdr>
              <w:divsChild>
                <w:div w:id="357588753">
                  <w:marLeft w:val="0"/>
                  <w:marRight w:val="0"/>
                  <w:marTop w:val="0"/>
                  <w:marBottom w:val="0"/>
                  <w:divBdr>
                    <w:top w:val="none" w:sz="0" w:space="0" w:color="auto"/>
                    <w:left w:val="none" w:sz="0" w:space="0" w:color="auto"/>
                    <w:bottom w:val="none" w:sz="0" w:space="0" w:color="auto"/>
                    <w:right w:val="none" w:sz="0" w:space="0" w:color="auto"/>
                  </w:divBdr>
                  <w:divsChild>
                    <w:div w:id="104984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8261661">
      <w:bodyDiv w:val="1"/>
      <w:marLeft w:val="0"/>
      <w:marRight w:val="0"/>
      <w:marTop w:val="0"/>
      <w:marBottom w:val="0"/>
      <w:divBdr>
        <w:top w:val="none" w:sz="0" w:space="0" w:color="auto"/>
        <w:left w:val="none" w:sz="0" w:space="0" w:color="auto"/>
        <w:bottom w:val="none" w:sz="0" w:space="0" w:color="auto"/>
        <w:right w:val="none" w:sz="0" w:space="0" w:color="auto"/>
      </w:divBdr>
    </w:div>
    <w:div w:id="373774604">
      <w:bodyDiv w:val="1"/>
      <w:marLeft w:val="0"/>
      <w:marRight w:val="0"/>
      <w:marTop w:val="0"/>
      <w:marBottom w:val="0"/>
      <w:divBdr>
        <w:top w:val="none" w:sz="0" w:space="0" w:color="auto"/>
        <w:left w:val="none" w:sz="0" w:space="0" w:color="auto"/>
        <w:bottom w:val="none" w:sz="0" w:space="0" w:color="auto"/>
        <w:right w:val="none" w:sz="0" w:space="0" w:color="auto"/>
      </w:divBdr>
      <w:divsChild>
        <w:div w:id="304161608">
          <w:marLeft w:val="0"/>
          <w:marRight w:val="0"/>
          <w:marTop w:val="0"/>
          <w:marBottom w:val="0"/>
          <w:divBdr>
            <w:top w:val="none" w:sz="0" w:space="0" w:color="auto"/>
            <w:left w:val="none" w:sz="0" w:space="0" w:color="auto"/>
            <w:bottom w:val="none" w:sz="0" w:space="0" w:color="auto"/>
            <w:right w:val="none" w:sz="0" w:space="0" w:color="auto"/>
          </w:divBdr>
        </w:div>
        <w:div w:id="366151052">
          <w:marLeft w:val="0"/>
          <w:marRight w:val="0"/>
          <w:marTop w:val="0"/>
          <w:marBottom w:val="0"/>
          <w:divBdr>
            <w:top w:val="none" w:sz="0" w:space="0" w:color="auto"/>
            <w:left w:val="none" w:sz="0" w:space="0" w:color="auto"/>
            <w:bottom w:val="none" w:sz="0" w:space="0" w:color="auto"/>
            <w:right w:val="none" w:sz="0" w:space="0" w:color="auto"/>
          </w:divBdr>
        </w:div>
        <w:div w:id="753744408">
          <w:marLeft w:val="0"/>
          <w:marRight w:val="0"/>
          <w:marTop w:val="0"/>
          <w:marBottom w:val="0"/>
          <w:divBdr>
            <w:top w:val="none" w:sz="0" w:space="0" w:color="auto"/>
            <w:left w:val="none" w:sz="0" w:space="0" w:color="auto"/>
            <w:bottom w:val="none" w:sz="0" w:space="0" w:color="auto"/>
            <w:right w:val="none" w:sz="0" w:space="0" w:color="auto"/>
          </w:divBdr>
        </w:div>
        <w:div w:id="1058550207">
          <w:marLeft w:val="0"/>
          <w:marRight w:val="0"/>
          <w:marTop w:val="0"/>
          <w:marBottom w:val="0"/>
          <w:divBdr>
            <w:top w:val="none" w:sz="0" w:space="0" w:color="auto"/>
            <w:left w:val="none" w:sz="0" w:space="0" w:color="auto"/>
            <w:bottom w:val="none" w:sz="0" w:space="0" w:color="auto"/>
            <w:right w:val="none" w:sz="0" w:space="0" w:color="auto"/>
          </w:divBdr>
        </w:div>
        <w:div w:id="1626496320">
          <w:marLeft w:val="0"/>
          <w:marRight w:val="0"/>
          <w:marTop w:val="0"/>
          <w:marBottom w:val="0"/>
          <w:divBdr>
            <w:top w:val="none" w:sz="0" w:space="0" w:color="auto"/>
            <w:left w:val="none" w:sz="0" w:space="0" w:color="auto"/>
            <w:bottom w:val="none" w:sz="0" w:space="0" w:color="auto"/>
            <w:right w:val="none" w:sz="0" w:space="0" w:color="auto"/>
          </w:divBdr>
        </w:div>
      </w:divsChild>
    </w:div>
    <w:div w:id="381096823">
      <w:bodyDiv w:val="1"/>
      <w:marLeft w:val="0"/>
      <w:marRight w:val="0"/>
      <w:marTop w:val="0"/>
      <w:marBottom w:val="0"/>
      <w:divBdr>
        <w:top w:val="none" w:sz="0" w:space="0" w:color="auto"/>
        <w:left w:val="none" w:sz="0" w:space="0" w:color="auto"/>
        <w:bottom w:val="none" w:sz="0" w:space="0" w:color="auto"/>
        <w:right w:val="none" w:sz="0" w:space="0" w:color="auto"/>
      </w:divBdr>
      <w:divsChild>
        <w:div w:id="373431912">
          <w:marLeft w:val="0"/>
          <w:marRight w:val="0"/>
          <w:marTop w:val="0"/>
          <w:marBottom w:val="0"/>
          <w:divBdr>
            <w:top w:val="none" w:sz="0" w:space="0" w:color="auto"/>
            <w:left w:val="none" w:sz="0" w:space="0" w:color="auto"/>
            <w:bottom w:val="none" w:sz="0" w:space="0" w:color="auto"/>
            <w:right w:val="none" w:sz="0" w:space="0" w:color="auto"/>
          </w:divBdr>
          <w:divsChild>
            <w:div w:id="1736271549">
              <w:marLeft w:val="0"/>
              <w:marRight w:val="0"/>
              <w:marTop w:val="0"/>
              <w:marBottom w:val="0"/>
              <w:divBdr>
                <w:top w:val="none" w:sz="0" w:space="0" w:color="auto"/>
                <w:left w:val="none" w:sz="0" w:space="0" w:color="auto"/>
                <w:bottom w:val="none" w:sz="0" w:space="0" w:color="auto"/>
                <w:right w:val="none" w:sz="0" w:space="0" w:color="auto"/>
              </w:divBdr>
              <w:divsChild>
                <w:div w:id="1922173265">
                  <w:marLeft w:val="0"/>
                  <w:marRight w:val="0"/>
                  <w:marTop w:val="0"/>
                  <w:marBottom w:val="0"/>
                  <w:divBdr>
                    <w:top w:val="none" w:sz="0" w:space="0" w:color="auto"/>
                    <w:left w:val="none" w:sz="0" w:space="0" w:color="auto"/>
                    <w:bottom w:val="none" w:sz="0" w:space="0" w:color="auto"/>
                    <w:right w:val="none" w:sz="0" w:space="0" w:color="auto"/>
                  </w:divBdr>
                  <w:divsChild>
                    <w:div w:id="185992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3911094">
      <w:bodyDiv w:val="1"/>
      <w:marLeft w:val="0"/>
      <w:marRight w:val="0"/>
      <w:marTop w:val="0"/>
      <w:marBottom w:val="0"/>
      <w:divBdr>
        <w:top w:val="none" w:sz="0" w:space="0" w:color="auto"/>
        <w:left w:val="none" w:sz="0" w:space="0" w:color="auto"/>
        <w:bottom w:val="none" w:sz="0" w:space="0" w:color="auto"/>
        <w:right w:val="none" w:sz="0" w:space="0" w:color="auto"/>
      </w:divBdr>
    </w:div>
    <w:div w:id="387535626">
      <w:bodyDiv w:val="1"/>
      <w:marLeft w:val="0"/>
      <w:marRight w:val="0"/>
      <w:marTop w:val="0"/>
      <w:marBottom w:val="0"/>
      <w:divBdr>
        <w:top w:val="none" w:sz="0" w:space="0" w:color="auto"/>
        <w:left w:val="none" w:sz="0" w:space="0" w:color="auto"/>
        <w:bottom w:val="none" w:sz="0" w:space="0" w:color="auto"/>
        <w:right w:val="none" w:sz="0" w:space="0" w:color="auto"/>
      </w:divBdr>
    </w:div>
    <w:div w:id="417291518">
      <w:bodyDiv w:val="1"/>
      <w:marLeft w:val="0"/>
      <w:marRight w:val="0"/>
      <w:marTop w:val="0"/>
      <w:marBottom w:val="0"/>
      <w:divBdr>
        <w:top w:val="none" w:sz="0" w:space="0" w:color="auto"/>
        <w:left w:val="none" w:sz="0" w:space="0" w:color="auto"/>
        <w:bottom w:val="none" w:sz="0" w:space="0" w:color="auto"/>
        <w:right w:val="none" w:sz="0" w:space="0" w:color="auto"/>
      </w:divBdr>
      <w:divsChild>
        <w:div w:id="551699521">
          <w:marLeft w:val="0"/>
          <w:marRight w:val="0"/>
          <w:marTop w:val="0"/>
          <w:marBottom w:val="0"/>
          <w:divBdr>
            <w:top w:val="none" w:sz="0" w:space="0" w:color="auto"/>
            <w:left w:val="none" w:sz="0" w:space="0" w:color="auto"/>
            <w:bottom w:val="none" w:sz="0" w:space="0" w:color="auto"/>
            <w:right w:val="none" w:sz="0" w:space="0" w:color="auto"/>
          </w:divBdr>
          <w:divsChild>
            <w:div w:id="1017729224">
              <w:marLeft w:val="0"/>
              <w:marRight w:val="0"/>
              <w:marTop w:val="0"/>
              <w:marBottom w:val="0"/>
              <w:divBdr>
                <w:top w:val="none" w:sz="0" w:space="0" w:color="auto"/>
                <w:left w:val="none" w:sz="0" w:space="0" w:color="auto"/>
                <w:bottom w:val="none" w:sz="0" w:space="0" w:color="auto"/>
                <w:right w:val="none" w:sz="0" w:space="0" w:color="auto"/>
              </w:divBdr>
              <w:divsChild>
                <w:div w:id="404835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603441">
      <w:bodyDiv w:val="1"/>
      <w:marLeft w:val="0"/>
      <w:marRight w:val="0"/>
      <w:marTop w:val="0"/>
      <w:marBottom w:val="0"/>
      <w:divBdr>
        <w:top w:val="none" w:sz="0" w:space="0" w:color="auto"/>
        <w:left w:val="none" w:sz="0" w:space="0" w:color="auto"/>
        <w:bottom w:val="none" w:sz="0" w:space="0" w:color="auto"/>
        <w:right w:val="none" w:sz="0" w:space="0" w:color="auto"/>
      </w:divBdr>
      <w:divsChild>
        <w:div w:id="644241632">
          <w:marLeft w:val="0"/>
          <w:marRight w:val="0"/>
          <w:marTop w:val="0"/>
          <w:marBottom w:val="0"/>
          <w:divBdr>
            <w:top w:val="none" w:sz="0" w:space="0" w:color="auto"/>
            <w:left w:val="none" w:sz="0" w:space="0" w:color="auto"/>
            <w:bottom w:val="none" w:sz="0" w:space="0" w:color="auto"/>
            <w:right w:val="none" w:sz="0" w:space="0" w:color="auto"/>
          </w:divBdr>
          <w:divsChild>
            <w:div w:id="941960359">
              <w:marLeft w:val="0"/>
              <w:marRight w:val="0"/>
              <w:marTop w:val="0"/>
              <w:marBottom w:val="0"/>
              <w:divBdr>
                <w:top w:val="none" w:sz="0" w:space="0" w:color="auto"/>
                <w:left w:val="none" w:sz="0" w:space="0" w:color="auto"/>
                <w:bottom w:val="none" w:sz="0" w:space="0" w:color="auto"/>
                <w:right w:val="none" w:sz="0" w:space="0" w:color="auto"/>
              </w:divBdr>
              <w:divsChild>
                <w:div w:id="687214621">
                  <w:marLeft w:val="0"/>
                  <w:marRight w:val="0"/>
                  <w:marTop w:val="0"/>
                  <w:marBottom w:val="0"/>
                  <w:divBdr>
                    <w:top w:val="none" w:sz="0" w:space="0" w:color="auto"/>
                    <w:left w:val="none" w:sz="0" w:space="0" w:color="auto"/>
                    <w:bottom w:val="none" w:sz="0" w:space="0" w:color="auto"/>
                    <w:right w:val="none" w:sz="0" w:space="0" w:color="auto"/>
                  </w:divBdr>
                  <w:divsChild>
                    <w:div w:id="209762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917535">
      <w:bodyDiv w:val="1"/>
      <w:marLeft w:val="0"/>
      <w:marRight w:val="0"/>
      <w:marTop w:val="0"/>
      <w:marBottom w:val="0"/>
      <w:divBdr>
        <w:top w:val="none" w:sz="0" w:space="0" w:color="auto"/>
        <w:left w:val="none" w:sz="0" w:space="0" w:color="auto"/>
        <w:bottom w:val="none" w:sz="0" w:space="0" w:color="auto"/>
        <w:right w:val="none" w:sz="0" w:space="0" w:color="auto"/>
      </w:divBdr>
    </w:div>
    <w:div w:id="445079975">
      <w:bodyDiv w:val="1"/>
      <w:marLeft w:val="0"/>
      <w:marRight w:val="0"/>
      <w:marTop w:val="0"/>
      <w:marBottom w:val="0"/>
      <w:divBdr>
        <w:top w:val="none" w:sz="0" w:space="0" w:color="auto"/>
        <w:left w:val="none" w:sz="0" w:space="0" w:color="auto"/>
        <w:bottom w:val="none" w:sz="0" w:space="0" w:color="auto"/>
        <w:right w:val="none" w:sz="0" w:space="0" w:color="auto"/>
      </w:divBdr>
      <w:divsChild>
        <w:div w:id="3673351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53402057">
      <w:bodyDiv w:val="1"/>
      <w:marLeft w:val="0"/>
      <w:marRight w:val="0"/>
      <w:marTop w:val="0"/>
      <w:marBottom w:val="0"/>
      <w:divBdr>
        <w:top w:val="none" w:sz="0" w:space="0" w:color="auto"/>
        <w:left w:val="none" w:sz="0" w:space="0" w:color="auto"/>
        <w:bottom w:val="none" w:sz="0" w:space="0" w:color="auto"/>
        <w:right w:val="none" w:sz="0" w:space="0" w:color="auto"/>
      </w:divBdr>
      <w:divsChild>
        <w:div w:id="1539778143">
          <w:marLeft w:val="0"/>
          <w:marRight w:val="0"/>
          <w:marTop w:val="0"/>
          <w:marBottom w:val="0"/>
          <w:divBdr>
            <w:top w:val="none" w:sz="0" w:space="0" w:color="auto"/>
            <w:left w:val="none" w:sz="0" w:space="0" w:color="auto"/>
            <w:bottom w:val="none" w:sz="0" w:space="0" w:color="auto"/>
            <w:right w:val="none" w:sz="0" w:space="0" w:color="auto"/>
          </w:divBdr>
          <w:divsChild>
            <w:div w:id="864756387">
              <w:marLeft w:val="0"/>
              <w:marRight w:val="0"/>
              <w:marTop w:val="0"/>
              <w:marBottom w:val="0"/>
              <w:divBdr>
                <w:top w:val="none" w:sz="0" w:space="0" w:color="auto"/>
                <w:left w:val="none" w:sz="0" w:space="0" w:color="auto"/>
                <w:bottom w:val="none" w:sz="0" w:space="0" w:color="auto"/>
                <w:right w:val="none" w:sz="0" w:space="0" w:color="auto"/>
              </w:divBdr>
              <w:divsChild>
                <w:div w:id="466581584">
                  <w:marLeft w:val="0"/>
                  <w:marRight w:val="0"/>
                  <w:marTop w:val="0"/>
                  <w:marBottom w:val="0"/>
                  <w:divBdr>
                    <w:top w:val="none" w:sz="0" w:space="0" w:color="auto"/>
                    <w:left w:val="none" w:sz="0" w:space="0" w:color="auto"/>
                    <w:bottom w:val="none" w:sz="0" w:space="0" w:color="auto"/>
                    <w:right w:val="none" w:sz="0" w:space="0" w:color="auto"/>
                  </w:divBdr>
                  <w:divsChild>
                    <w:div w:id="1356154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5568903">
      <w:bodyDiv w:val="1"/>
      <w:marLeft w:val="0"/>
      <w:marRight w:val="0"/>
      <w:marTop w:val="0"/>
      <w:marBottom w:val="0"/>
      <w:divBdr>
        <w:top w:val="none" w:sz="0" w:space="0" w:color="auto"/>
        <w:left w:val="none" w:sz="0" w:space="0" w:color="auto"/>
        <w:bottom w:val="none" w:sz="0" w:space="0" w:color="auto"/>
        <w:right w:val="none" w:sz="0" w:space="0" w:color="auto"/>
      </w:divBdr>
    </w:div>
    <w:div w:id="458300052">
      <w:bodyDiv w:val="1"/>
      <w:marLeft w:val="0"/>
      <w:marRight w:val="0"/>
      <w:marTop w:val="0"/>
      <w:marBottom w:val="0"/>
      <w:divBdr>
        <w:top w:val="none" w:sz="0" w:space="0" w:color="auto"/>
        <w:left w:val="none" w:sz="0" w:space="0" w:color="auto"/>
        <w:bottom w:val="none" w:sz="0" w:space="0" w:color="auto"/>
        <w:right w:val="none" w:sz="0" w:space="0" w:color="auto"/>
      </w:divBdr>
      <w:divsChild>
        <w:div w:id="1181579974">
          <w:marLeft w:val="0"/>
          <w:marRight w:val="0"/>
          <w:marTop w:val="0"/>
          <w:marBottom w:val="0"/>
          <w:divBdr>
            <w:top w:val="none" w:sz="0" w:space="0" w:color="auto"/>
            <w:left w:val="none" w:sz="0" w:space="0" w:color="auto"/>
            <w:bottom w:val="none" w:sz="0" w:space="0" w:color="auto"/>
            <w:right w:val="none" w:sz="0" w:space="0" w:color="auto"/>
          </w:divBdr>
          <w:divsChild>
            <w:div w:id="575361849">
              <w:marLeft w:val="0"/>
              <w:marRight w:val="0"/>
              <w:marTop w:val="0"/>
              <w:marBottom w:val="0"/>
              <w:divBdr>
                <w:top w:val="none" w:sz="0" w:space="0" w:color="auto"/>
                <w:left w:val="none" w:sz="0" w:space="0" w:color="auto"/>
                <w:bottom w:val="none" w:sz="0" w:space="0" w:color="auto"/>
                <w:right w:val="none" w:sz="0" w:space="0" w:color="auto"/>
              </w:divBdr>
              <w:divsChild>
                <w:div w:id="444884386">
                  <w:marLeft w:val="0"/>
                  <w:marRight w:val="0"/>
                  <w:marTop w:val="0"/>
                  <w:marBottom w:val="0"/>
                  <w:divBdr>
                    <w:top w:val="none" w:sz="0" w:space="0" w:color="auto"/>
                    <w:left w:val="none" w:sz="0" w:space="0" w:color="auto"/>
                    <w:bottom w:val="none" w:sz="0" w:space="0" w:color="auto"/>
                    <w:right w:val="none" w:sz="0" w:space="0" w:color="auto"/>
                  </w:divBdr>
                  <w:divsChild>
                    <w:div w:id="139122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2239130">
      <w:bodyDiv w:val="1"/>
      <w:marLeft w:val="0"/>
      <w:marRight w:val="0"/>
      <w:marTop w:val="0"/>
      <w:marBottom w:val="0"/>
      <w:divBdr>
        <w:top w:val="none" w:sz="0" w:space="0" w:color="auto"/>
        <w:left w:val="none" w:sz="0" w:space="0" w:color="auto"/>
        <w:bottom w:val="none" w:sz="0" w:space="0" w:color="auto"/>
        <w:right w:val="none" w:sz="0" w:space="0" w:color="auto"/>
      </w:divBdr>
      <w:divsChild>
        <w:div w:id="831602736">
          <w:marLeft w:val="0"/>
          <w:marRight w:val="0"/>
          <w:marTop w:val="0"/>
          <w:marBottom w:val="0"/>
          <w:divBdr>
            <w:top w:val="none" w:sz="0" w:space="0" w:color="auto"/>
            <w:left w:val="none" w:sz="0" w:space="0" w:color="auto"/>
            <w:bottom w:val="none" w:sz="0" w:space="0" w:color="auto"/>
            <w:right w:val="none" w:sz="0" w:space="0" w:color="auto"/>
          </w:divBdr>
          <w:divsChild>
            <w:div w:id="1797404183">
              <w:marLeft w:val="0"/>
              <w:marRight w:val="0"/>
              <w:marTop w:val="0"/>
              <w:marBottom w:val="0"/>
              <w:divBdr>
                <w:top w:val="none" w:sz="0" w:space="0" w:color="auto"/>
                <w:left w:val="none" w:sz="0" w:space="0" w:color="auto"/>
                <w:bottom w:val="none" w:sz="0" w:space="0" w:color="auto"/>
                <w:right w:val="none" w:sz="0" w:space="0" w:color="auto"/>
              </w:divBdr>
              <w:divsChild>
                <w:div w:id="403375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092543">
      <w:bodyDiv w:val="1"/>
      <w:marLeft w:val="0"/>
      <w:marRight w:val="0"/>
      <w:marTop w:val="0"/>
      <w:marBottom w:val="0"/>
      <w:divBdr>
        <w:top w:val="none" w:sz="0" w:space="0" w:color="auto"/>
        <w:left w:val="none" w:sz="0" w:space="0" w:color="auto"/>
        <w:bottom w:val="none" w:sz="0" w:space="0" w:color="auto"/>
        <w:right w:val="none" w:sz="0" w:space="0" w:color="auto"/>
      </w:divBdr>
      <w:divsChild>
        <w:div w:id="1675453638">
          <w:marLeft w:val="0"/>
          <w:marRight w:val="0"/>
          <w:marTop w:val="0"/>
          <w:marBottom w:val="0"/>
          <w:divBdr>
            <w:top w:val="none" w:sz="0" w:space="0" w:color="auto"/>
            <w:left w:val="none" w:sz="0" w:space="0" w:color="auto"/>
            <w:bottom w:val="none" w:sz="0" w:space="0" w:color="auto"/>
            <w:right w:val="none" w:sz="0" w:space="0" w:color="auto"/>
          </w:divBdr>
          <w:divsChild>
            <w:div w:id="465320022">
              <w:marLeft w:val="0"/>
              <w:marRight w:val="0"/>
              <w:marTop w:val="0"/>
              <w:marBottom w:val="0"/>
              <w:divBdr>
                <w:top w:val="none" w:sz="0" w:space="0" w:color="auto"/>
                <w:left w:val="none" w:sz="0" w:space="0" w:color="auto"/>
                <w:bottom w:val="none" w:sz="0" w:space="0" w:color="auto"/>
                <w:right w:val="none" w:sz="0" w:space="0" w:color="auto"/>
              </w:divBdr>
              <w:divsChild>
                <w:div w:id="199637594">
                  <w:marLeft w:val="0"/>
                  <w:marRight w:val="0"/>
                  <w:marTop w:val="0"/>
                  <w:marBottom w:val="0"/>
                  <w:divBdr>
                    <w:top w:val="none" w:sz="0" w:space="0" w:color="auto"/>
                    <w:left w:val="none" w:sz="0" w:space="0" w:color="auto"/>
                    <w:bottom w:val="none" w:sz="0" w:space="0" w:color="auto"/>
                    <w:right w:val="none" w:sz="0" w:space="0" w:color="auto"/>
                  </w:divBdr>
                  <w:divsChild>
                    <w:div w:id="1285891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7554506">
      <w:bodyDiv w:val="1"/>
      <w:marLeft w:val="0"/>
      <w:marRight w:val="0"/>
      <w:marTop w:val="0"/>
      <w:marBottom w:val="0"/>
      <w:divBdr>
        <w:top w:val="none" w:sz="0" w:space="0" w:color="auto"/>
        <w:left w:val="none" w:sz="0" w:space="0" w:color="auto"/>
        <w:bottom w:val="none" w:sz="0" w:space="0" w:color="auto"/>
        <w:right w:val="none" w:sz="0" w:space="0" w:color="auto"/>
      </w:divBdr>
      <w:divsChild>
        <w:div w:id="347172639">
          <w:marLeft w:val="0"/>
          <w:marRight w:val="0"/>
          <w:marTop w:val="0"/>
          <w:marBottom w:val="0"/>
          <w:divBdr>
            <w:top w:val="none" w:sz="0" w:space="0" w:color="auto"/>
            <w:left w:val="none" w:sz="0" w:space="0" w:color="auto"/>
            <w:bottom w:val="none" w:sz="0" w:space="0" w:color="auto"/>
            <w:right w:val="none" w:sz="0" w:space="0" w:color="auto"/>
          </w:divBdr>
          <w:divsChild>
            <w:div w:id="413402196">
              <w:marLeft w:val="0"/>
              <w:marRight w:val="0"/>
              <w:marTop w:val="0"/>
              <w:marBottom w:val="0"/>
              <w:divBdr>
                <w:top w:val="none" w:sz="0" w:space="0" w:color="auto"/>
                <w:left w:val="none" w:sz="0" w:space="0" w:color="auto"/>
                <w:bottom w:val="none" w:sz="0" w:space="0" w:color="auto"/>
                <w:right w:val="none" w:sz="0" w:space="0" w:color="auto"/>
              </w:divBdr>
              <w:divsChild>
                <w:div w:id="1809207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118645">
      <w:bodyDiv w:val="1"/>
      <w:marLeft w:val="0"/>
      <w:marRight w:val="0"/>
      <w:marTop w:val="0"/>
      <w:marBottom w:val="0"/>
      <w:divBdr>
        <w:top w:val="none" w:sz="0" w:space="0" w:color="auto"/>
        <w:left w:val="none" w:sz="0" w:space="0" w:color="auto"/>
        <w:bottom w:val="none" w:sz="0" w:space="0" w:color="auto"/>
        <w:right w:val="none" w:sz="0" w:space="0" w:color="auto"/>
      </w:divBdr>
      <w:divsChild>
        <w:div w:id="89084798">
          <w:marLeft w:val="0"/>
          <w:marRight w:val="0"/>
          <w:marTop w:val="0"/>
          <w:marBottom w:val="0"/>
          <w:divBdr>
            <w:top w:val="none" w:sz="0" w:space="0" w:color="auto"/>
            <w:left w:val="none" w:sz="0" w:space="0" w:color="auto"/>
            <w:bottom w:val="none" w:sz="0" w:space="0" w:color="auto"/>
            <w:right w:val="none" w:sz="0" w:space="0" w:color="auto"/>
          </w:divBdr>
          <w:divsChild>
            <w:div w:id="381637144">
              <w:marLeft w:val="0"/>
              <w:marRight w:val="0"/>
              <w:marTop w:val="0"/>
              <w:marBottom w:val="0"/>
              <w:divBdr>
                <w:top w:val="none" w:sz="0" w:space="0" w:color="auto"/>
                <w:left w:val="none" w:sz="0" w:space="0" w:color="auto"/>
                <w:bottom w:val="none" w:sz="0" w:space="0" w:color="auto"/>
                <w:right w:val="none" w:sz="0" w:space="0" w:color="auto"/>
              </w:divBdr>
              <w:divsChild>
                <w:div w:id="836772170">
                  <w:marLeft w:val="0"/>
                  <w:marRight w:val="0"/>
                  <w:marTop w:val="0"/>
                  <w:marBottom w:val="0"/>
                  <w:divBdr>
                    <w:top w:val="none" w:sz="0" w:space="0" w:color="auto"/>
                    <w:left w:val="none" w:sz="0" w:space="0" w:color="auto"/>
                    <w:bottom w:val="none" w:sz="0" w:space="0" w:color="auto"/>
                    <w:right w:val="none" w:sz="0" w:space="0" w:color="auto"/>
                  </w:divBdr>
                  <w:divsChild>
                    <w:div w:id="1470631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7552030">
      <w:bodyDiv w:val="1"/>
      <w:marLeft w:val="0"/>
      <w:marRight w:val="0"/>
      <w:marTop w:val="0"/>
      <w:marBottom w:val="0"/>
      <w:divBdr>
        <w:top w:val="none" w:sz="0" w:space="0" w:color="auto"/>
        <w:left w:val="none" w:sz="0" w:space="0" w:color="auto"/>
        <w:bottom w:val="none" w:sz="0" w:space="0" w:color="auto"/>
        <w:right w:val="none" w:sz="0" w:space="0" w:color="auto"/>
      </w:divBdr>
      <w:divsChild>
        <w:div w:id="316570563">
          <w:marLeft w:val="0"/>
          <w:marRight w:val="0"/>
          <w:marTop w:val="0"/>
          <w:marBottom w:val="0"/>
          <w:divBdr>
            <w:top w:val="none" w:sz="0" w:space="0" w:color="auto"/>
            <w:left w:val="none" w:sz="0" w:space="0" w:color="auto"/>
            <w:bottom w:val="none" w:sz="0" w:space="0" w:color="auto"/>
            <w:right w:val="none" w:sz="0" w:space="0" w:color="auto"/>
          </w:divBdr>
          <w:divsChild>
            <w:div w:id="1021781692">
              <w:marLeft w:val="0"/>
              <w:marRight w:val="0"/>
              <w:marTop w:val="0"/>
              <w:marBottom w:val="0"/>
              <w:divBdr>
                <w:top w:val="none" w:sz="0" w:space="0" w:color="auto"/>
                <w:left w:val="none" w:sz="0" w:space="0" w:color="auto"/>
                <w:bottom w:val="none" w:sz="0" w:space="0" w:color="auto"/>
                <w:right w:val="none" w:sz="0" w:space="0" w:color="auto"/>
              </w:divBdr>
              <w:divsChild>
                <w:div w:id="1557470075">
                  <w:marLeft w:val="0"/>
                  <w:marRight w:val="0"/>
                  <w:marTop w:val="0"/>
                  <w:marBottom w:val="0"/>
                  <w:divBdr>
                    <w:top w:val="none" w:sz="0" w:space="0" w:color="auto"/>
                    <w:left w:val="none" w:sz="0" w:space="0" w:color="auto"/>
                    <w:bottom w:val="none" w:sz="0" w:space="0" w:color="auto"/>
                    <w:right w:val="none" w:sz="0" w:space="0" w:color="auto"/>
                  </w:divBdr>
                  <w:divsChild>
                    <w:div w:id="603617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5415893">
      <w:bodyDiv w:val="1"/>
      <w:marLeft w:val="0"/>
      <w:marRight w:val="0"/>
      <w:marTop w:val="0"/>
      <w:marBottom w:val="0"/>
      <w:divBdr>
        <w:top w:val="none" w:sz="0" w:space="0" w:color="auto"/>
        <w:left w:val="none" w:sz="0" w:space="0" w:color="auto"/>
        <w:bottom w:val="none" w:sz="0" w:space="0" w:color="auto"/>
        <w:right w:val="none" w:sz="0" w:space="0" w:color="auto"/>
      </w:divBdr>
      <w:divsChild>
        <w:div w:id="514810561">
          <w:marLeft w:val="0"/>
          <w:marRight w:val="0"/>
          <w:marTop w:val="0"/>
          <w:marBottom w:val="0"/>
          <w:divBdr>
            <w:top w:val="none" w:sz="0" w:space="0" w:color="auto"/>
            <w:left w:val="none" w:sz="0" w:space="0" w:color="auto"/>
            <w:bottom w:val="none" w:sz="0" w:space="0" w:color="auto"/>
            <w:right w:val="none" w:sz="0" w:space="0" w:color="auto"/>
          </w:divBdr>
          <w:divsChild>
            <w:div w:id="1894197665">
              <w:marLeft w:val="0"/>
              <w:marRight w:val="0"/>
              <w:marTop w:val="0"/>
              <w:marBottom w:val="0"/>
              <w:divBdr>
                <w:top w:val="none" w:sz="0" w:space="0" w:color="auto"/>
                <w:left w:val="none" w:sz="0" w:space="0" w:color="auto"/>
                <w:bottom w:val="none" w:sz="0" w:space="0" w:color="auto"/>
                <w:right w:val="none" w:sz="0" w:space="0" w:color="auto"/>
              </w:divBdr>
              <w:divsChild>
                <w:div w:id="1319573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1938650">
      <w:bodyDiv w:val="1"/>
      <w:marLeft w:val="0"/>
      <w:marRight w:val="0"/>
      <w:marTop w:val="0"/>
      <w:marBottom w:val="0"/>
      <w:divBdr>
        <w:top w:val="none" w:sz="0" w:space="0" w:color="auto"/>
        <w:left w:val="none" w:sz="0" w:space="0" w:color="auto"/>
        <w:bottom w:val="none" w:sz="0" w:space="0" w:color="auto"/>
        <w:right w:val="none" w:sz="0" w:space="0" w:color="auto"/>
      </w:divBdr>
      <w:divsChild>
        <w:div w:id="125205710">
          <w:marLeft w:val="0"/>
          <w:marRight w:val="0"/>
          <w:marTop w:val="0"/>
          <w:marBottom w:val="0"/>
          <w:divBdr>
            <w:top w:val="none" w:sz="0" w:space="0" w:color="auto"/>
            <w:left w:val="none" w:sz="0" w:space="0" w:color="auto"/>
            <w:bottom w:val="none" w:sz="0" w:space="0" w:color="auto"/>
            <w:right w:val="none" w:sz="0" w:space="0" w:color="auto"/>
          </w:divBdr>
          <w:divsChild>
            <w:div w:id="638463650">
              <w:marLeft w:val="0"/>
              <w:marRight w:val="0"/>
              <w:marTop w:val="0"/>
              <w:marBottom w:val="0"/>
              <w:divBdr>
                <w:top w:val="none" w:sz="0" w:space="0" w:color="auto"/>
                <w:left w:val="none" w:sz="0" w:space="0" w:color="auto"/>
                <w:bottom w:val="none" w:sz="0" w:space="0" w:color="auto"/>
                <w:right w:val="none" w:sz="0" w:space="0" w:color="auto"/>
              </w:divBdr>
              <w:divsChild>
                <w:div w:id="1512790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0653403">
      <w:bodyDiv w:val="1"/>
      <w:marLeft w:val="0"/>
      <w:marRight w:val="0"/>
      <w:marTop w:val="0"/>
      <w:marBottom w:val="0"/>
      <w:divBdr>
        <w:top w:val="none" w:sz="0" w:space="0" w:color="auto"/>
        <w:left w:val="none" w:sz="0" w:space="0" w:color="auto"/>
        <w:bottom w:val="none" w:sz="0" w:space="0" w:color="auto"/>
        <w:right w:val="none" w:sz="0" w:space="0" w:color="auto"/>
      </w:divBdr>
      <w:divsChild>
        <w:div w:id="14711685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57397450">
      <w:bodyDiv w:val="1"/>
      <w:marLeft w:val="0"/>
      <w:marRight w:val="0"/>
      <w:marTop w:val="0"/>
      <w:marBottom w:val="0"/>
      <w:divBdr>
        <w:top w:val="none" w:sz="0" w:space="0" w:color="auto"/>
        <w:left w:val="none" w:sz="0" w:space="0" w:color="auto"/>
        <w:bottom w:val="none" w:sz="0" w:space="0" w:color="auto"/>
        <w:right w:val="none" w:sz="0" w:space="0" w:color="auto"/>
      </w:divBdr>
      <w:divsChild>
        <w:div w:id="72748391">
          <w:marLeft w:val="0"/>
          <w:marRight w:val="0"/>
          <w:marTop w:val="0"/>
          <w:marBottom w:val="0"/>
          <w:divBdr>
            <w:top w:val="none" w:sz="0" w:space="0" w:color="auto"/>
            <w:left w:val="none" w:sz="0" w:space="0" w:color="auto"/>
            <w:bottom w:val="none" w:sz="0" w:space="0" w:color="auto"/>
            <w:right w:val="none" w:sz="0" w:space="0" w:color="auto"/>
          </w:divBdr>
          <w:divsChild>
            <w:div w:id="1217085778">
              <w:marLeft w:val="0"/>
              <w:marRight w:val="0"/>
              <w:marTop w:val="0"/>
              <w:marBottom w:val="0"/>
              <w:divBdr>
                <w:top w:val="none" w:sz="0" w:space="0" w:color="auto"/>
                <w:left w:val="none" w:sz="0" w:space="0" w:color="auto"/>
                <w:bottom w:val="none" w:sz="0" w:space="0" w:color="auto"/>
                <w:right w:val="none" w:sz="0" w:space="0" w:color="auto"/>
              </w:divBdr>
              <w:divsChild>
                <w:div w:id="640772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0944546">
      <w:bodyDiv w:val="1"/>
      <w:marLeft w:val="0"/>
      <w:marRight w:val="0"/>
      <w:marTop w:val="0"/>
      <w:marBottom w:val="0"/>
      <w:divBdr>
        <w:top w:val="none" w:sz="0" w:space="0" w:color="auto"/>
        <w:left w:val="none" w:sz="0" w:space="0" w:color="auto"/>
        <w:bottom w:val="none" w:sz="0" w:space="0" w:color="auto"/>
        <w:right w:val="none" w:sz="0" w:space="0" w:color="auto"/>
      </w:divBdr>
      <w:divsChild>
        <w:div w:id="1716201135">
          <w:marLeft w:val="0"/>
          <w:marRight w:val="0"/>
          <w:marTop w:val="0"/>
          <w:marBottom w:val="0"/>
          <w:divBdr>
            <w:top w:val="none" w:sz="0" w:space="0" w:color="auto"/>
            <w:left w:val="none" w:sz="0" w:space="0" w:color="auto"/>
            <w:bottom w:val="none" w:sz="0" w:space="0" w:color="auto"/>
            <w:right w:val="none" w:sz="0" w:space="0" w:color="auto"/>
          </w:divBdr>
          <w:divsChild>
            <w:div w:id="1563517544">
              <w:marLeft w:val="0"/>
              <w:marRight w:val="0"/>
              <w:marTop w:val="0"/>
              <w:marBottom w:val="0"/>
              <w:divBdr>
                <w:top w:val="none" w:sz="0" w:space="0" w:color="auto"/>
                <w:left w:val="none" w:sz="0" w:space="0" w:color="auto"/>
                <w:bottom w:val="none" w:sz="0" w:space="0" w:color="auto"/>
                <w:right w:val="none" w:sz="0" w:space="0" w:color="auto"/>
              </w:divBdr>
              <w:divsChild>
                <w:div w:id="1534416995">
                  <w:marLeft w:val="0"/>
                  <w:marRight w:val="0"/>
                  <w:marTop w:val="0"/>
                  <w:marBottom w:val="0"/>
                  <w:divBdr>
                    <w:top w:val="none" w:sz="0" w:space="0" w:color="auto"/>
                    <w:left w:val="none" w:sz="0" w:space="0" w:color="auto"/>
                    <w:bottom w:val="none" w:sz="0" w:space="0" w:color="auto"/>
                    <w:right w:val="none" w:sz="0" w:space="0" w:color="auto"/>
                  </w:divBdr>
                  <w:divsChild>
                    <w:div w:id="1873956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1599513">
      <w:bodyDiv w:val="1"/>
      <w:marLeft w:val="0"/>
      <w:marRight w:val="0"/>
      <w:marTop w:val="0"/>
      <w:marBottom w:val="0"/>
      <w:divBdr>
        <w:top w:val="none" w:sz="0" w:space="0" w:color="auto"/>
        <w:left w:val="none" w:sz="0" w:space="0" w:color="auto"/>
        <w:bottom w:val="none" w:sz="0" w:space="0" w:color="auto"/>
        <w:right w:val="none" w:sz="0" w:space="0" w:color="auto"/>
      </w:divBdr>
    </w:div>
    <w:div w:id="580484484">
      <w:bodyDiv w:val="1"/>
      <w:marLeft w:val="0"/>
      <w:marRight w:val="0"/>
      <w:marTop w:val="0"/>
      <w:marBottom w:val="0"/>
      <w:divBdr>
        <w:top w:val="none" w:sz="0" w:space="0" w:color="auto"/>
        <w:left w:val="none" w:sz="0" w:space="0" w:color="auto"/>
        <w:bottom w:val="none" w:sz="0" w:space="0" w:color="auto"/>
        <w:right w:val="none" w:sz="0" w:space="0" w:color="auto"/>
      </w:divBdr>
    </w:div>
    <w:div w:id="583415135">
      <w:bodyDiv w:val="1"/>
      <w:marLeft w:val="0"/>
      <w:marRight w:val="0"/>
      <w:marTop w:val="0"/>
      <w:marBottom w:val="0"/>
      <w:divBdr>
        <w:top w:val="none" w:sz="0" w:space="0" w:color="auto"/>
        <w:left w:val="none" w:sz="0" w:space="0" w:color="auto"/>
        <w:bottom w:val="none" w:sz="0" w:space="0" w:color="auto"/>
        <w:right w:val="none" w:sz="0" w:space="0" w:color="auto"/>
      </w:divBdr>
      <w:divsChild>
        <w:div w:id="1864512156">
          <w:marLeft w:val="0"/>
          <w:marRight w:val="0"/>
          <w:marTop w:val="0"/>
          <w:marBottom w:val="0"/>
          <w:divBdr>
            <w:top w:val="none" w:sz="0" w:space="0" w:color="auto"/>
            <w:left w:val="none" w:sz="0" w:space="0" w:color="auto"/>
            <w:bottom w:val="none" w:sz="0" w:space="0" w:color="auto"/>
            <w:right w:val="none" w:sz="0" w:space="0" w:color="auto"/>
          </w:divBdr>
          <w:divsChild>
            <w:div w:id="1835951174">
              <w:marLeft w:val="0"/>
              <w:marRight w:val="0"/>
              <w:marTop w:val="0"/>
              <w:marBottom w:val="0"/>
              <w:divBdr>
                <w:top w:val="none" w:sz="0" w:space="0" w:color="auto"/>
                <w:left w:val="none" w:sz="0" w:space="0" w:color="auto"/>
                <w:bottom w:val="none" w:sz="0" w:space="0" w:color="auto"/>
                <w:right w:val="none" w:sz="0" w:space="0" w:color="auto"/>
              </w:divBdr>
              <w:divsChild>
                <w:div w:id="817379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1843494">
      <w:bodyDiv w:val="1"/>
      <w:marLeft w:val="0"/>
      <w:marRight w:val="0"/>
      <w:marTop w:val="0"/>
      <w:marBottom w:val="0"/>
      <w:divBdr>
        <w:top w:val="none" w:sz="0" w:space="0" w:color="auto"/>
        <w:left w:val="none" w:sz="0" w:space="0" w:color="auto"/>
        <w:bottom w:val="none" w:sz="0" w:space="0" w:color="auto"/>
        <w:right w:val="none" w:sz="0" w:space="0" w:color="auto"/>
      </w:divBdr>
      <w:divsChild>
        <w:div w:id="237402132">
          <w:marLeft w:val="0"/>
          <w:marRight w:val="0"/>
          <w:marTop w:val="0"/>
          <w:marBottom w:val="0"/>
          <w:divBdr>
            <w:top w:val="none" w:sz="0" w:space="0" w:color="auto"/>
            <w:left w:val="none" w:sz="0" w:space="0" w:color="auto"/>
            <w:bottom w:val="none" w:sz="0" w:space="0" w:color="auto"/>
            <w:right w:val="none" w:sz="0" w:space="0" w:color="auto"/>
          </w:divBdr>
          <w:divsChild>
            <w:div w:id="304361385">
              <w:marLeft w:val="0"/>
              <w:marRight w:val="0"/>
              <w:marTop w:val="0"/>
              <w:marBottom w:val="0"/>
              <w:divBdr>
                <w:top w:val="none" w:sz="0" w:space="0" w:color="auto"/>
                <w:left w:val="none" w:sz="0" w:space="0" w:color="auto"/>
                <w:bottom w:val="none" w:sz="0" w:space="0" w:color="auto"/>
                <w:right w:val="none" w:sz="0" w:space="0" w:color="auto"/>
              </w:divBdr>
            </w:div>
          </w:divsChild>
        </w:div>
        <w:div w:id="540752888">
          <w:marLeft w:val="0"/>
          <w:marRight w:val="0"/>
          <w:marTop w:val="0"/>
          <w:marBottom w:val="0"/>
          <w:divBdr>
            <w:top w:val="none" w:sz="0" w:space="0" w:color="auto"/>
            <w:left w:val="none" w:sz="0" w:space="0" w:color="auto"/>
            <w:bottom w:val="none" w:sz="0" w:space="0" w:color="auto"/>
            <w:right w:val="none" w:sz="0" w:space="0" w:color="auto"/>
          </w:divBdr>
          <w:divsChild>
            <w:div w:id="1308314260">
              <w:marLeft w:val="0"/>
              <w:marRight w:val="0"/>
              <w:marTop w:val="0"/>
              <w:marBottom w:val="0"/>
              <w:divBdr>
                <w:top w:val="none" w:sz="0" w:space="0" w:color="auto"/>
                <w:left w:val="none" w:sz="0" w:space="0" w:color="auto"/>
                <w:bottom w:val="none" w:sz="0" w:space="0" w:color="auto"/>
                <w:right w:val="none" w:sz="0" w:space="0" w:color="auto"/>
              </w:divBdr>
            </w:div>
          </w:divsChild>
        </w:div>
        <w:div w:id="1942178536">
          <w:marLeft w:val="0"/>
          <w:marRight w:val="0"/>
          <w:marTop w:val="0"/>
          <w:marBottom w:val="0"/>
          <w:divBdr>
            <w:top w:val="none" w:sz="0" w:space="0" w:color="auto"/>
            <w:left w:val="none" w:sz="0" w:space="0" w:color="auto"/>
            <w:bottom w:val="none" w:sz="0" w:space="0" w:color="auto"/>
            <w:right w:val="none" w:sz="0" w:space="0" w:color="auto"/>
          </w:divBdr>
          <w:divsChild>
            <w:div w:id="919028216">
              <w:marLeft w:val="0"/>
              <w:marRight w:val="0"/>
              <w:marTop w:val="0"/>
              <w:marBottom w:val="0"/>
              <w:divBdr>
                <w:top w:val="none" w:sz="0" w:space="0" w:color="auto"/>
                <w:left w:val="none" w:sz="0" w:space="0" w:color="auto"/>
                <w:bottom w:val="none" w:sz="0" w:space="0" w:color="auto"/>
                <w:right w:val="none" w:sz="0" w:space="0" w:color="auto"/>
              </w:divBdr>
            </w:div>
          </w:divsChild>
        </w:div>
        <w:div w:id="692196665">
          <w:marLeft w:val="0"/>
          <w:marRight w:val="0"/>
          <w:marTop w:val="0"/>
          <w:marBottom w:val="0"/>
          <w:divBdr>
            <w:top w:val="none" w:sz="0" w:space="0" w:color="auto"/>
            <w:left w:val="none" w:sz="0" w:space="0" w:color="auto"/>
            <w:bottom w:val="none" w:sz="0" w:space="0" w:color="auto"/>
            <w:right w:val="none" w:sz="0" w:space="0" w:color="auto"/>
          </w:divBdr>
          <w:divsChild>
            <w:div w:id="831410616">
              <w:marLeft w:val="0"/>
              <w:marRight w:val="0"/>
              <w:marTop w:val="0"/>
              <w:marBottom w:val="0"/>
              <w:divBdr>
                <w:top w:val="none" w:sz="0" w:space="0" w:color="auto"/>
                <w:left w:val="none" w:sz="0" w:space="0" w:color="auto"/>
                <w:bottom w:val="none" w:sz="0" w:space="0" w:color="auto"/>
                <w:right w:val="none" w:sz="0" w:space="0" w:color="auto"/>
              </w:divBdr>
            </w:div>
          </w:divsChild>
        </w:div>
        <w:div w:id="1734543307">
          <w:marLeft w:val="0"/>
          <w:marRight w:val="0"/>
          <w:marTop w:val="0"/>
          <w:marBottom w:val="0"/>
          <w:divBdr>
            <w:top w:val="none" w:sz="0" w:space="0" w:color="auto"/>
            <w:left w:val="none" w:sz="0" w:space="0" w:color="auto"/>
            <w:bottom w:val="none" w:sz="0" w:space="0" w:color="auto"/>
            <w:right w:val="none" w:sz="0" w:space="0" w:color="auto"/>
          </w:divBdr>
          <w:divsChild>
            <w:div w:id="971331132">
              <w:marLeft w:val="0"/>
              <w:marRight w:val="0"/>
              <w:marTop w:val="0"/>
              <w:marBottom w:val="0"/>
              <w:divBdr>
                <w:top w:val="none" w:sz="0" w:space="0" w:color="auto"/>
                <w:left w:val="none" w:sz="0" w:space="0" w:color="auto"/>
                <w:bottom w:val="none" w:sz="0" w:space="0" w:color="auto"/>
                <w:right w:val="none" w:sz="0" w:space="0" w:color="auto"/>
              </w:divBdr>
            </w:div>
          </w:divsChild>
        </w:div>
        <w:div w:id="946738145">
          <w:marLeft w:val="0"/>
          <w:marRight w:val="0"/>
          <w:marTop w:val="0"/>
          <w:marBottom w:val="0"/>
          <w:divBdr>
            <w:top w:val="none" w:sz="0" w:space="0" w:color="auto"/>
            <w:left w:val="none" w:sz="0" w:space="0" w:color="auto"/>
            <w:bottom w:val="none" w:sz="0" w:space="0" w:color="auto"/>
            <w:right w:val="none" w:sz="0" w:space="0" w:color="auto"/>
          </w:divBdr>
          <w:divsChild>
            <w:div w:id="317341195">
              <w:marLeft w:val="0"/>
              <w:marRight w:val="0"/>
              <w:marTop w:val="0"/>
              <w:marBottom w:val="0"/>
              <w:divBdr>
                <w:top w:val="none" w:sz="0" w:space="0" w:color="auto"/>
                <w:left w:val="none" w:sz="0" w:space="0" w:color="auto"/>
                <w:bottom w:val="none" w:sz="0" w:space="0" w:color="auto"/>
                <w:right w:val="none" w:sz="0" w:space="0" w:color="auto"/>
              </w:divBdr>
            </w:div>
          </w:divsChild>
        </w:div>
        <w:div w:id="302732839">
          <w:marLeft w:val="0"/>
          <w:marRight w:val="0"/>
          <w:marTop w:val="0"/>
          <w:marBottom w:val="0"/>
          <w:divBdr>
            <w:top w:val="none" w:sz="0" w:space="0" w:color="auto"/>
            <w:left w:val="none" w:sz="0" w:space="0" w:color="auto"/>
            <w:bottom w:val="none" w:sz="0" w:space="0" w:color="auto"/>
            <w:right w:val="none" w:sz="0" w:space="0" w:color="auto"/>
          </w:divBdr>
          <w:divsChild>
            <w:div w:id="569660292">
              <w:marLeft w:val="0"/>
              <w:marRight w:val="0"/>
              <w:marTop w:val="0"/>
              <w:marBottom w:val="0"/>
              <w:divBdr>
                <w:top w:val="none" w:sz="0" w:space="0" w:color="auto"/>
                <w:left w:val="none" w:sz="0" w:space="0" w:color="auto"/>
                <w:bottom w:val="none" w:sz="0" w:space="0" w:color="auto"/>
                <w:right w:val="none" w:sz="0" w:space="0" w:color="auto"/>
              </w:divBdr>
            </w:div>
          </w:divsChild>
        </w:div>
        <w:div w:id="2141998883">
          <w:marLeft w:val="0"/>
          <w:marRight w:val="0"/>
          <w:marTop w:val="0"/>
          <w:marBottom w:val="0"/>
          <w:divBdr>
            <w:top w:val="none" w:sz="0" w:space="0" w:color="auto"/>
            <w:left w:val="none" w:sz="0" w:space="0" w:color="auto"/>
            <w:bottom w:val="none" w:sz="0" w:space="0" w:color="auto"/>
            <w:right w:val="none" w:sz="0" w:space="0" w:color="auto"/>
          </w:divBdr>
          <w:divsChild>
            <w:div w:id="996152395">
              <w:marLeft w:val="0"/>
              <w:marRight w:val="0"/>
              <w:marTop w:val="0"/>
              <w:marBottom w:val="0"/>
              <w:divBdr>
                <w:top w:val="none" w:sz="0" w:space="0" w:color="auto"/>
                <w:left w:val="none" w:sz="0" w:space="0" w:color="auto"/>
                <w:bottom w:val="none" w:sz="0" w:space="0" w:color="auto"/>
                <w:right w:val="none" w:sz="0" w:space="0" w:color="auto"/>
              </w:divBdr>
            </w:div>
          </w:divsChild>
        </w:div>
        <w:div w:id="607127780">
          <w:marLeft w:val="0"/>
          <w:marRight w:val="0"/>
          <w:marTop w:val="0"/>
          <w:marBottom w:val="0"/>
          <w:divBdr>
            <w:top w:val="none" w:sz="0" w:space="0" w:color="auto"/>
            <w:left w:val="none" w:sz="0" w:space="0" w:color="auto"/>
            <w:bottom w:val="none" w:sz="0" w:space="0" w:color="auto"/>
            <w:right w:val="none" w:sz="0" w:space="0" w:color="auto"/>
          </w:divBdr>
          <w:divsChild>
            <w:div w:id="278610529">
              <w:marLeft w:val="0"/>
              <w:marRight w:val="0"/>
              <w:marTop w:val="0"/>
              <w:marBottom w:val="0"/>
              <w:divBdr>
                <w:top w:val="none" w:sz="0" w:space="0" w:color="auto"/>
                <w:left w:val="none" w:sz="0" w:space="0" w:color="auto"/>
                <w:bottom w:val="none" w:sz="0" w:space="0" w:color="auto"/>
                <w:right w:val="none" w:sz="0" w:space="0" w:color="auto"/>
              </w:divBdr>
            </w:div>
          </w:divsChild>
        </w:div>
        <w:div w:id="1928922143">
          <w:marLeft w:val="0"/>
          <w:marRight w:val="0"/>
          <w:marTop w:val="0"/>
          <w:marBottom w:val="0"/>
          <w:divBdr>
            <w:top w:val="none" w:sz="0" w:space="0" w:color="auto"/>
            <w:left w:val="none" w:sz="0" w:space="0" w:color="auto"/>
            <w:bottom w:val="none" w:sz="0" w:space="0" w:color="auto"/>
            <w:right w:val="none" w:sz="0" w:space="0" w:color="auto"/>
          </w:divBdr>
          <w:divsChild>
            <w:div w:id="635990520">
              <w:marLeft w:val="0"/>
              <w:marRight w:val="0"/>
              <w:marTop w:val="0"/>
              <w:marBottom w:val="0"/>
              <w:divBdr>
                <w:top w:val="none" w:sz="0" w:space="0" w:color="auto"/>
                <w:left w:val="none" w:sz="0" w:space="0" w:color="auto"/>
                <w:bottom w:val="none" w:sz="0" w:space="0" w:color="auto"/>
                <w:right w:val="none" w:sz="0" w:space="0" w:color="auto"/>
              </w:divBdr>
            </w:div>
          </w:divsChild>
        </w:div>
        <w:div w:id="1687829834">
          <w:marLeft w:val="0"/>
          <w:marRight w:val="0"/>
          <w:marTop w:val="0"/>
          <w:marBottom w:val="0"/>
          <w:divBdr>
            <w:top w:val="none" w:sz="0" w:space="0" w:color="auto"/>
            <w:left w:val="none" w:sz="0" w:space="0" w:color="auto"/>
            <w:bottom w:val="none" w:sz="0" w:space="0" w:color="auto"/>
            <w:right w:val="none" w:sz="0" w:space="0" w:color="auto"/>
          </w:divBdr>
          <w:divsChild>
            <w:div w:id="878511173">
              <w:marLeft w:val="0"/>
              <w:marRight w:val="0"/>
              <w:marTop w:val="0"/>
              <w:marBottom w:val="0"/>
              <w:divBdr>
                <w:top w:val="none" w:sz="0" w:space="0" w:color="auto"/>
                <w:left w:val="none" w:sz="0" w:space="0" w:color="auto"/>
                <w:bottom w:val="none" w:sz="0" w:space="0" w:color="auto"/>
                <w:right w:val="none" w:sz="0" w:space="0" w:color="auto"/>
              </w:divBdr>
            </w:div>
          </w:divsChild>
        </w:div>
        <w:div w:id="1133133048">
          <w:marLeft w:val="0"/>
          <w:marRight w:val="0"/>
          <w:marTop w:val="0"/>
          <w:marBottom w:val="0"/>
          <w:divBdr>
            <w:top w:val="none" w:sz="0" w:space="0" w:color="auto"/>
            <w:left w:val="none" w:sz="0" w:space="0" w:color="auto"/>
            <w:bottom w:val="none" w:sz="0" w:space="0" w:color="auto"/>
            <w:right w:val="none" w:sz="0" w:space="0" w:color="auto"/>
          </w:divBdr>
          <w:divsChild>
            <w:div w:id="1639070369">
              <w:marLeft w:val="0"/>
              <w:marRight w:val="0"/>
              <w:marTop w:val="0"/>
              <w:marBottom w:val="0"/>
              <w:divBdr>
                <w:top w:val="none" w:sz="0" w:space="0" w:color="auto"/>
                <w:left w:val="none" w:sz="0" w:space="0" w:color="auto"/>
                <w:bottom w:val="none" w:sz="0" w:space="0" w:color="auto"/>
                <w:right w:val="none" w:sz="0" w:space="0" w:color="auto"/>
              </w:divBdr>
            </w:div>
          </w:divsChild>
        </w:div>
        <w:div w:id="899903188">
          <w:marLeft w:val="0"/>
          <w:marRight w:val="0"/>
          <w:marTop w:val="0"/>
          <w:marBottom w:val="0"/>
          <w:divBdr>
            <w:top w:val="none" w:sz="0" w:space="0" w:color="auto"/>
            <w:left w:val="none" w:sz="0" w:space="0" w:color="auto"/>
            <w:bottom w:val="none" w:sz="0" w:space="0" w:color="auto"/>
            <w:right w:val="none" w:sz="0" w:space="0" w:color="auto"/>
          </w:divBdr>
          <w:divsChild>
            <w:div w:id="201287702">
              <w:marLeft w:val="0"/>
              <w:marRight w:val="0"/>
              <w:marTop w:val="0"/>
              <w:marBottom w:val="0"/>
              <w:divBdr>
                <w:top w:val="none" w:sz="0" w:space="0" w:color="auto"/>
                <w:left w:val="none" w:sz="0" w:space="0" w:color="auto"/>
                <w:bottom w:val="none" w:sz="0" w:space="0" w:color="auto"/>
                <w:right w:val="none" w:sz="0" w:space="0" w:color="auto"/>
              </w:divBdr>
            </w:div>
          </w:divsChild>
        </w:div>
        <w:div w:id="255671481">
          <w:marLeft w:val="0"/>
          <w:marRight w:val="0"/>
          <w:marTop w:val="0"/>
          <w:marBottom w:val="0"/>
          <w:divBdr>
            <w:top w:val="none" w:sz="0" w:space="0" w:color="auto"/>
            <w:left w:val="none" w:sz="0" w:space="0" w:color="auto"/>
            <w:bottom w:val="none" w:sz="0" w:space="0" w:color="auto"/>
            <w:right w:val="none" w:sz="0" w:space="0" w:color="auto"/>
          </w:divBdr>
          <w:divsChild>
            <w:div w:id="1407141529">
              <w:marLeft w:val="0"/>
              <w:marRight w:val="0"/>
              <w:marTop w:val="0"/>
              <w:marBottom w:val="0"/>
              <w:divBdr>
                <w:top w:val="none" w:sz="0" w:space="0" w:color="auto"/>
                <w:left w:val="none" w:sz="0" w:space="0" w:color="auto"/>
                <w:bottom w:val="none" w:sz="0" w:space="0" w:color="auto"/>
                <w:right w:val="none" w:sz="0" w:space="0" w:color="auto"/>
              </w:divBdr>
            </w:div>
            <w:div w:id="1812476068">
              <w:marLeft w:val="0"/>
              <w:marRight w:val="0"/>
              <w:marTop w:val="0"/>
              <w:marBottom w:val="0"/>
              <w:divBdr>
                <w:top w:val="none" w:sz="0" w:space="0" w:color="auto"/>
                <w:left w:val="none" w:sz="0" w:space="0" w:color="auto"/>
                <w:bottom w:val="none" w:sz="0" w:space="0" w:color="auto"/>
                <w:right w:val="none" w:sz="0" w:space="0" w:color="auto"/>
              </w:divBdr>
            </w:div>
          </w:divsChild>
        </w:div>
        <w:div w:id="1402603813">
          <w:marLeft w:val="0"/>
          <w:marRight w:val="0"/>
          <w:marTop w:val="0"/>
          <w:marBottom w:val="0"/>
          <w:divBdr>
            <w:top w:val="none" w:sz="0" w:space="0" w:color="auto"/>
            <w:left w:val="none" w:sz="0" w:space="0" w:color="auto"/>
            <w:bottom w:val="none" w:sz="0" w:space="0" w:color="auto"/>
            <w:right w:val="none" w:sz="0" w:space="0" w:color="auto"/>
          </w:divBdr>
          <w:divsChild>
            <w:div w:id="259023828">
              <w:marLeft w:val="0"/>
              <w:marRight w:val="0"/>
              <w:marTop w:val="0"/>
              <w:marBottom w:val="0"/>
              <w:divBdr>
                <w:top w:val="none" w:sz="0" w:space="0" w:color="auto"/>
                <w:left w:val="none" w:sz="0" w:space="0" w:color="auto"/>
                <w:bottom w:val="none" w:sz="0" w:space="0" w:color="auto"/>
                <w:right w:val="none" w:sz="0" w:space="0" w:color="auto"/>
              </w:divBdr>
            </w:div>
          </w:divsChild>
        </w:div>
        <w:div w:id="1545633183">
          <w:marLeft w:val="0"/>
          <w:marRight w:val="0"/>
          <w:marTop w:val="0"/>
          <w:marBottom w:val="0"/>
          <w:divBdr>
            <w:top w:val="none" w:sz="0" w:space="0" w:color="auto"/>
            <w:left w:val="none" w:sz="0" w:space="0" w:color="auto"/>
            <w:bottom w:val="none" w:sz="0" w:space="0" w:color="auto"/>
            <w:right w:val="none" w:sz="0" w:space="0" w:color="auto"/>
          </w:divBdr>
          <w:divsChild>
            <w:div w:id="1655060970">
              <w:marLeft w:val="0"/>
              <w:marRight w:val="0"/>
              <w:marTop w:val="0"/>
              <w:marBottom w:val="0"/>
              <w:divBdr>
                <w:top w:val="none" w:sz="0" w:space="0" w:color="auto"/>
                <w:left w:val="none" w:sz="0" w:space="0" w:color="auto"/>
                <w:bottom w:val="none" w:sz="0" w:space="0" w:color="auto"/>
                <w:right w:val="none" w:sz="0" w:space="0" w:color="auto"/>
              </w:divBdr>
            </w:div>
          </w:divsChild>
        </w:div>
        <w:div w:id="820848487">
          <w:marLeft w:val="0"/>
          <w:marRight w:val="0"/>
          <w:marTop w:val="0"/>
          <w:marBottom w:val="0"/>
          <w:divBdr>
            <w:top w:val="none" w:sz="0" w:space="0" w:color="auto"/>
            <w:left w:val="none" w:sz="0" w:space="0" w:color="auto"/>
            <w:bottom w:val="none" w:sz="0" w:space="0" w:color="auto"/>
            <w:right w:val="none" w:sz="0" w:space="0" w:color="auto"/>
          </w:divBdr>
          <w:divsChild>
            <w:div w:id="1867524103">
              <w:marLeft w:val="0"/>
              <w:marRight w:val="0"/>
              <w:marTop w:val="0"/>
              <w:marBottom w:val="0"/>
              <w:divBdr>
                <w:top w:val="none" w:sz="0" w:space="0" w:color="auto"/>
                <w:left w:val="none" w:sz="0" w:space="0" w:color="auto"/>
                <w:bottom w:val="none" w:sz="0" w:space="0" w:color="auto"/>
                <w:right w:val="none" w:sz="0" w:space="0" w:color="auto"/>
              </w:divBdr>
            </w:div>
          </w:divsChild>
        </w:div>
        <w:div w:id="1930118047">
          <w:marLeft w:val="0"/>
          <w:marRight w:val="0"/>
          <w:marTop w:val="0"/>
          <w:marBottom w:val="0"/>
          <w:divBdr>
            <w:top w:val="none" w:sz="0" w:space="0" w:color="auto"/>
            <w:left w:val="none" w:sz="0" w:space="0" w:color="auto"/>
            <w:bottom w:val="none" w:sz="0" w:space="0" w:color="auto"/>
            <w:right w:val="none" w:sz="0" w:space="0" w:color="auto"/>
          </w:divBdr>
          <w:divsChild>
            <w:div w:id="708648818">
              <w:marLeft w:val="0"/>
              <w:marRight w:val="0"/>
              <w:marTop w:val="0"/>
              <w:marBottom w:val="0"/>
              <w:divBdr>
                <w:top w:val="none" w:sz="0" w:space="0" w:color="auto"/>
                <w:left w:val="none" w:sz="0" w:space="0" w:color="auto"/>
                <w:bottom w:val="none" w:sz="0" w:space="0" w:color="auto"/>
                <w:right w:val="none" w:sz="0" w:space="0" w:color="auto"/>
              </w:divBdr>
            </w:div>
          </w:divsChild>
        </w:div>
        <w:div w:id="882913022">
          <w:marLeft w:val="0"/>
          <w:marRight w:val="0"/>
          <w:marTop w:val="0"/>
          <w:marBottom w:val="0"/>
          <w:divBdr>
            <w:top w:val="none" w:sz="0" w:space="0" w:color="auto"/>
            <w:left w:val="none" w:sz="0" w:space="0" w:color="auto"/>
            <w:bottom w:val="none" w:sz="0" w:space="0" w:color="auto"/>
            <w:right w:val="none" w:sz="0" w:space="0" w:color="auto"/>
          </w:divBdr>
          <w:divsChild>
            <w:div w:id="907422968">
              <w:marLeft w:val="0"/>
              <w:marRight w:val="0"/>
              <w:marTop w:val="0"/>
              <w:marBottom w:val="0"/>
              <w:divBdr>
                <w:top w:val="none" w:sz="0" w:space="0" w:color="auto"/>
                <w:left w:val="none" w:sz="0" w:space="0" w:color="auto"/>
                <w:bottom w:val="none" w:sz="0" w:space="0" w:color="auto"/>
                <w:right w:val="none" w:sz="0" w:space="0" w:color="auto"/>
              </w:divBdr>
            </w:div>
          </w:divsChild>
        </w:div>
        <w:div w:id="1506243179">
          <w:marLeft w:val="0"/>
          <w:marRight w:val="0"/>
          <w:marTop w:val="0"/>
          <w:marBottom w:val="0"/>
          <w:divBdr>
            <w:top w:val="none" w:sz="0" w:space="0" w:color="auto"/>
            <w:left w:val="none" w:sz="0" w:space="0" w:color="auto"/>
            <w:bottom w:val="none" w:sz="0" w:space="0" w:color="auto"/>
            <w:right w:val="none" w:sz="0" w:space="0" w:color="auto"/>
          </w:divBdr>
          <w:divsChild>
            <w:div w:id="1476144684">
              <w:marLeft w:val="0"/>
              <w:marRight w:val="0"/>
              <w:marTop w:val="0"/>
              <w:marBottom w:val="0"/>
              <w:divBdr>
                <w:top w:val="none" w:sz="0" w:space="0" w:color="auto"/>
                <w:left w:val="none" w:sz="0" w:space="0" w:color="auto"/>
                <w:bottom w:val="none" w:sz="0" w:space="0" w:color="auto"/>
                <w:right w:val="none" w:sz="0" w:space="0" w:color="auto"/>
              </w:divBdr>
            </w:div>
          </w:divsChild>
        </w:div>
        <w:div w:id="1023632633">
          <w:marLeft w:val="0"/>
          <w:marRight w:val="0"/>
          <w:marTop w:val="0"/>
          <w:marBottom w:val="0"/>
          <w:divBdr>
            <w:top w:val="none" w:sz="0" w:space="0" w:color="auto"/>
            <w:left w:val="none" w:sz="0" w:space="0" w:color="auto"/>
            <w:bottom w:val="none" w:sz="0" w:space="0" w:color="auto"/>
            <w:right w:val="none" w:sz="0" w:space="0" w:color="auto"/>
          </w:divBdr>
          <w:divsChild>
            <w:div w:id="515195813">
              <w:marLeft w:val="0"/>
              <w:marRight w:val="0"/>
              <w:marTop w:val="0"/>
              <w:marBottom w:val="0"/>
              <w:divBdr>
                <w:top w:val="none" w:sz="0" w:space="0" w:color="auto"/>
                <w:left w:val="none" w:sz="0" w:space="0" w:color="auto"/>
                <w:bottom w:val="none" w:sz="0" w:space="0" w:color="auto"/>
                <w:right w:val="none" w:sz="0" w:space="0" w:color="auto"/>
              </w:divBdr>
            </w:div>
          </w:divsChild>
        </w:div>
        <w:div w:id="669262191">
          <w:marLeft w:val="0"/>
          <w:marRight w:val="0"/>
          <w:marTop w:val="0"/>
          <w:marBottom w:val="0"/>
          <w:divBdr>
            <w:top w:val="none" w:sz="0" w:space="0" w:color="auto"/>
            <w:left w:val="none" w:sz="0" w:space="0" w:color="auto"/>
            <w:bottom w:val="none" w:sz="0" w:space="0" w:color="auto"/>
            <w:right w:val="none" w:sz="0" w:space="0" w:color="auto"/>
          </w:divBdr>
          <w:divsChild>
            <w:div w:id="1396390643">
              <w:marLeft w:val="0"/>
              <w:marRight w:val="0"/>
              <w:marTop w:val="0"/>
              <w:marBottom w:val="0"/>
              <w:divBdr>
                <w:top w:val="none" w:sz="0" w:space="0" w:color="auto"/>
                <w:left w:val="none" w:sz="0" w:space="0" w:color="auto"/>
                <w:bottom w:val="none" w:sz="0" w:space="0" w:color="auto"/>
                <w:right w:val="none" w:sz="0" w:space="0" w:color="auto"/>
              </w:divBdr>
            </w:div>
          </w:divsChild>
        </w:div>
        <w:div w:id="582838378">
          <w:marLeft w:val="0"/>
          <w:marRight w:val="0"/>
          <w:marTop w:val="0"/>
          <w:marBottom w:val="0"/>
          <w:divBdr>
            <w:top w:val="none" w:sz="0" w:space="0" w:color="auto"/>
            <w:left w:val="none" w:sz="0" w:space="0" w:color="auto"/>
            <w:bottom w:val="none" w:sz="0" w:space="0" w:color="auto"/>
            <w:right w:val="none" w:sz="0" w:space="0" w:color="auto"/>
          </w:divBdr>
          <w:divsChild>
            <w:div w:id="872033577">
              <w:marLeft w:val="0"/>
              <w:marRight w:val="0"/>
              <w:marTop w:val="0"/>
              <w:marBottom w:val="0"/>
              <w:divBdr>
                <w:top w:val="none" w:sz="0" w:space="0" w:color="auto"/>
                <w:left w:val="none" w:sz="0" w:space="0" w:color="auto"/>
                <w:bottom w:val="none" w:sz="0" w:space="0" w:color="auto"/>
                <w:right w:val="none" w:sz="0" w:space="0" w:color="auto"/>
              </w:divBdr>
            </w:div>
          </w:divsChild>
        </w:div>
        <w:div w:id="1219583790">
          <w:marLeft w:val="0"/>
          <w:marRight w:val="0"/>
          <w:marTop w:val="0"/>
          <w:marBottom w:val="0"/>
          <w:divBdr>
            <w:top w:val="none" w:sz="0" w:space="0" w:color="auto"/>
            <w:left w:val="none" w:sz="0" w:space="0" w:color="auto"/>
            <w:bottom w:val="none" w:sz="0" w:space="0" w:color="auto"/>
            <w:right w:val="none" w:sz="0" w:space="0" w:color="auto"/>
          </w:divBdr>
          <w:divsChild>
            <w:div w:id="1293251300">
              <w:marLeft w:val="0"/>
              <w:marRight w:val="0"/>
              <w:marTop w:val="0"/>
              <w:marBottom w:val="0"/>
              <w:divBdr>
                <w:top w:val="none" w:sz="0" w:space="0" w:color="auto"/>
                <w:left w:val="none" w:sz="0" w:space="0" w:color="auto"/>
                <w:bottom w:val="none" w:sz="0" w:space="0" w:color="auto"/>
                <w:right w:val="none" w:sz="0" w:space="0" w:color="auto"/>
              </w:divBdr>
            </w:div>
          </w:divsChild>
        </w:div>
        <w:div w:id="31738231">
          <w:marLeft w:val="0"/>
          <w:marRight w:val="0"/>
          <w:marTop w:val="0"/>
          <w:marBottom w:val="0"/>
          <w:divBdr>
            <w:top w:val="none" w:sz="0" w:space="0" w:color="auto"/>
            <w:left w:val="none" w:sz="0" w:space="0" w:color="auto"/>
            <w:bottom w:val="none" w:sz="0" w:space="0" w:color="auto"/>
            <w:right w:val="none" w:sz="0" w:space="0" w:color="auto"/>
          </w:divBdr>
          <w:divsChild>
            <w:div w:id="518741549">
              <w:marLeft w:val="0"/>
              <w:marRight w:val="0"/>
              <w:marTop w:val="0"/>
              <w:marBottom w:val="0"/>
              <w:divBdr>
                <w:top w:val="none" w:sz="0" w:space="0" w:color="auto"/>
                <w:left w:val="none" w:sz="0" w:space="0" w:color="auto"/>
                <w:bottom w:val="none" w:sz="0" w:space="0" w:color="auto"/>
                <w:right w:val="none" w:sz="0" w:space="0" w:color="auto"/>
              </w:divBdr>
            </w:div>
          </w:divsChild>
        </w:div>
        <w:div w:id="820772945">
          <w:marLeft w:val="0"/>
          <w:marRight w:val="0"/>
          <w:marTop w:val="0"/>
          <w:marBottom w:val="0"/>
          <w:divBdr>
            <w:top w:val="none" w:sz="0" w:space="0" w:color="auto"/>
            <w:left w:val="none" w:sz="0" w:space="0" w:color="auto"/>
            <w:bottom w:val="none" w:sz="0" w:space="0" w:color="auto"/>
            <w:right w:val="none" w:sz="0" w:space="0" w:color="auto"/>
          </w:divBdr>
          <w:divsChild>
            <w:div w:id="184945135">
              <w:marLeft w:val="0"/>
              <w:marRight w:val="0"/>
              <w:marTop w:val="0"/>
              <w:marBottom w:val="0"/>
              <w:divBdr>
                <w:top w:val="none" w:sz="0" w:space="0" w:color="auto"/>
                <w:left w:val="none" w:sz="0" w:space="0" w:color="auto"/>
                <w:bottom w:val="none" w:sz="0" w:space="0" w:color="auto"/>
                <w:right w:val="none" w:sz="0" w:space="0" w:color="auto"/>
              </w:divBdr>
            </w:div>
          </w:divsChild>
        </w:div>
        <w:div w:id="1642419160">
          <w:marLeft w:val="0"/>
          <w:marRight w:val="0"/>
          <w:marTop w:val="0"/>
          <w:marBottom w:val="0"/>
          <w:divBdr>
            <w:top w:val="none" w:sz="0" w:space="0" w:color="auto"/>
            <w:left w:val="none" w:sz="0" w:space="0" w:color="auto"/>
            <w:bottom w:val="none" w:sz="0" w:space="0" w:color="auto"/>
            <w:right w:val="none" w:sz="0" w:space="0" w:color="auto"/>
          </w:divBdr>
          <w:divsChild>
            <w:div w:id="624889663">
              <w:marLeft w:val="0"/>
              <w:marRight w:val="0"/>
              <w:marTop w:val="0"/>
              <w:marBottom w:val="0"/>
              <w:divBdr>
                <w:top w:val="none" w:sz="0" w:space="0" w:color="auto"/>
                <w:left w:val="none" w:sz="0" w:space="0" w:color="auto"/>
                <w:bottom w:val="none" w:sz="0" w:space="0" w:color="auto"/>
                <w:right w:val="none" w:sz="0" w:space="0" w:color="auto"/>
              </w:divBdr>
            </w:div>
          </w:divsChild>
        </w:div>
        <w:div w:id="1997805531">
          <w:marLeft w:val="0"/>
          <w:marRight w:val="0"/>
          <w:marTop w:val="0"/>
          <w:marBottom w:val="0"/>
          <w:divBdr>
            <w:top w:val="none" w:sz="0" w:space="0" w:color="auto"/>
            <w:left w:val="none" w:sz="0" w:space="0" w:color="auto"/>
            <w:bottom w:val="none" w:sz="0" w:space="0" w:color="auto"/>
            <w:right w:val="none" w:sz="0" w:space="0" w:color="auto"/>
          </w:divBdr>
          <w:divsChild>
            <w:div w:id="848907836">
              <w:marLeft w:val="0"/>
              <w:marRight w:val="0"/>
              <w:marTop w:val="0"/>
              <w:marBottom w:val="0"/>
              <w:divBdr>
                <w:top w:val="none" w:sz="0" w:space="0" w:color="auto"/>
                <w:left w:val="none" w:sz="0" w:space="0" w:color="auto"/>
                <w:bottom w:val="none" w:sz="0" w:space="0" w:color="auto"/>
                <w:right w:val="none" w:sz="0" w:space="0" w:color="auto"/>
              </w:divBdr>
            </w:div>
          </w:divsChild>
        </w:div>
        <w:div w:id="162934876">
          <w:marLeft w:val="0"/>
          <w:marRight w:val="0"/>
          <w:marTop w:val="0"/>
          <w:marBottom w:val="0"/>
          <w:divBdr>
            <w:top w:val="none" w:sz="0" w:space="0" w:color="auto"/>
            <w:left w:val="none" w:sz="0" w:space="0" w:color="auto"/>
            <w:bottom w:val="none" w:sz="0" w:space="0" w:color="auto"/>
            <w:right w:val="none" w:sz="0" w:space="0" w:color="auto"/>
          </w:divBdr>
          <w:divsChild>
            <w:div w:id="845559772">
              <w:marLeft w:val="0"/>
              <w:marRight w:val="0"/>
              <w:marTop w:val="0"/>
              <w:marBottom w:val="0"/>
              <w:divBdr>
                <w:top w:val="none" w:sz="0" w:space="0" w:color="auto"/>
                <w:left w:val="none" w:sz="0" w:space="0" w:color="auto"/>
                <w:bottom w:val="none" w:sz="0" w:space="0" w:color="auto"/>
                <w:right w:val="none" w:sz="0" w:space="0" w:color="auto"/>
              </w:divBdr>
            </w:div>
          </w:divsChild>
        </w:div>
        <w:div w:id="1691295811">
          <w:marLeft w:val="0"/>
          <w:marRight w:val="0"/>
          <w:marTop w:val="0"/>
          <w:marBottom w:val="0"/>
          <w:divBdr>
            <w:top w:val="none" w:sz="0" w:space="0" w:color="auto"/>
            <w:left w:val="none" w:sz="0" w:space="0" w:color="auto"/>
            <w:bottom w:val="none" w:sz="0" w:space="0" w:color="auto"/>
            <w:right w:val="none" w:sz="0" w:space="0" w:color="auto"/>
          </w:divBdr>
          <w:divsChild>
            <w:div w:id="1394811979">
              <w:marLeft w:val="0"/>
              <w:marRight w:val="0"/>
              <w:marTop w:val="0"/>
              <w:marBottom w:val="0"/>
              <w:divBdr>
                <w:top w:val="none" w:sz="0" w:space="0" w:color="auto"/>
                <w:left w:val="none" w:sz="0" w:space="0" w:color="auto"/>
                <w:bottom w:val="none" w:sz="0" w:space="0" w:color="auto"/>
                <w:right w:val="none" w:sz="0" w:space="0" w:color="auto"/>
              </w:divBdr>
            </w:div>
          </w:divsChild>
        </w:div>
        <w:div w:id="1639917029">
          <w:marLeft w:val="0"/>
          <w:marRight w:val="0"/>
          <w:marTop w:val="0"/>
          <w:marBottom w:val="0"/>
          <w:divBdr>
            <w:top w:val="none" w:sz="0" w:space="0" w:color="auto"/>
            <w:left w:val="none" w:sz="0" w:space="0" w:color="auto"/>
            <w:bottom w:val="none" w:sz="0" w:space="0" w:color="auto"/>
            <w:right w:val="none" w:sz="0" w:space="0" w:color="auto"/>
          </w:divBdr>
          <w:divsChild>
            <w:div w:id="916868504">
              <w:marLeft w:val="0"/>
              <w:marRight w:val="0"/>
              <w:marTop w:val="0"/>
              <w:marBottom w:val="0"/>
              <w:divBdr>
                <w:top w:val="none" w:sz="0" w:space="0" w:color="auto"/>
                <w:left w:val="none" w:sz="0" w:space="0" w:color="auto"/>
                <w:bottom w:val="none" w:sz="0" w:space="0" w:color="auto"/>
                <w:right w:val="none" w:sz="0" w:space="0" w:color="auto"/>
              </w:divBdr>
            </w:div>
          </w:divsChild>
        </w:div>
        <w:div w:id="82069694">
          <w:marLeft w:val="0"/>
          <w:marRight w:val="0"/>
          <w:marTop w:val="0"/>
          <w:marBottom w:val="0"/>
          <w:divBdr>
            <w:top w:val="none" w:sz="0" w:space="0" w:color="auto"/>
            <w:left w:val="none" w:sz="0" w:space="0" w:color="auto"/>
            <w:bottom w:val="none" w:sz="0" w:space="0" w:color="auto"/>
            <w:right w:val="none" w:sz="0" w:space="0" w:color="auto"/>
          </w:divBdr>
          <w:divsChild>
            <w:div w:id="1289168715">
              <w:marLeft w:val="0"/>
              <w:marRight w:val="0"/>
              <w:marTop w:val="0"/>
              <w:marBottom w:val="0"/>
              <w:divBdr>
                <w:top w:val="none" w:sz="0" w:space="0" w:color="auto"/>
                <w:left w:val="none" w:sz="0" w:space="0" w:color="auto"/>
                <w:bottom w:val="none" w:sz="0" w:space="0" w:color="auto"/>
                <w:right w:val="none" w:sz="0" w:space="0" w:color="auto"/>
              </w:divBdr>
            </w:div>
          </w:divsChild>
        </w:div>
        <w:div w:id="2114204707">
          <w:marLeft w:val="0"/>
          <w:marRight w:val="0"/>
          <w:marTop w:val="0"/>
          <w:marBottom w:val="0"/>
          <w:divBdr>
            <w:top w:val="none" w:sz="0" w:space="0" w:color="auto"/>
            <w:left w:val="none" w:sz="0" w:space="0" w:color="auto"/>
            <w:bottom w:val="none" w:sz="0" w:space="0" w:color="auto"/>
            <w:right w:val="none" w:sz="0" w:space="0" w:color="auto"/>
          </w:divBdr>
          <w:divsChild>
            <w:div w:id="1000160036">
              <w:marLeft w:val="0"/>
              <w:marRight w:val="0"/>
              <w:marTop w:val="0"/>
              <w:marBottom w:val="0"/>
              <w:divBdr>
                <w:top w:val="none" w:sz="0" w:space="0" w:color="auto"/>
                <w:left w:val="none" w:sz="0" w:space="0" w:color="auto"/>
                <w:bottom w:val="none" w:sz="0" w:space="0" w:color="auto"/>
                <w:right w:val="none" w:sz="0" w:space="0" w:color="auto"/>
              </w:divBdr>
            </w:div>
          </w:divsChild>
        </w:div>
        <w:div w:id="627122530">
          <w:marLeft w:val="0"/>
          <w:marRight w:val="0"/>
          <w:marTop w:val="0"/>
          <w:marBottom w:val="0"/>
          <w:divBdr>
            <w:top w:val="none" w:sz="0" w:space="0" w:color="auto"/>
            <w:left w:val="none" w:sz="0" w:space="0" w:color="auto"/>
            <w:bottom w:val="none" w:sz="0" w:space="0" w:color="auto"/>
            <w:right w:val="none" w:sz="0" w:space="0" w:color="auto"/>
          </w:divBdr>
          <w:divsChild>
            <w:div w:id="1037387869">
              <w:marLeft w:val="0"/>
              <w:marRight w:val="0"/>
              <w:marTop w:val="0"/>
              <w:marBottom w:val="0"/>
              <w:divBdr>
                <w:top w:val="none" w:sz="0" w:space="0" w:color="auto"/>
                <w:left w:val="none" w:sz="0" w:space="0" w:color="auto"/>
                <w:bottom w:val="none" w:sz="0" w:space="0" w:color="auto"/>
                <w:right w:val="none" w:sz="0" w:space="0" w:color="auto"/>
              </w:divBdr>
            </w:div>
          </w:divsChild>
        </w:div>
        <w:div w:id="1524712804">
          <w:marLeft w:val="0"/>
          <w:marRight w:val="0"/>
          <w:marTop w:val="0"/>
          <w:marBottom w:val="0"/>
          <w:divBdr>
            <w:top w:val="none" w:sz="0" w:space="0" w:color="auto"/>
            <w:left w:val="none" w:sz="0" w:space="0" w:color="auto"/>
            <w:bottom w:val="none" w:sz="0" w:space="0" w:color="auto"/>
            <w:right w:val="none" w:sz="0" w:space="0" w:color="auto"/>
          </w:divBdr>
          <w:divsChild>
            <w:div w:id="798378662">
              <w:marLeft w:val="0"/>
              <w:marRight w:val="0"/>
              <w:marTop w:val="0"/>
              <w:marBottom w:val="0"/>
              <w:divBdr>
                <w:top w:val="none" w:sz="0" w:space="0" w:color="auto"/>
                <w:left w:val="none" w:sz="0" w:space="0" w:color="auto"/>
                <w:bottom w:val="none" w:sz="0" w:space="0" w:color="auto"/>
                <w:right w:val="none" w:sz="0" w:space="0" w:color="auto"/>
              </w:divBdr>
            </w:div>
          </w:divsChild>
        </w:div>
        <w:div w:id="467747464">
          <w:marLeft w:val="0"/>
          <w:marRight w:val="0"/>
          <w:marTop w:val="0"/>
          <w:marBottom w:val="0"/>
          <w:divBdr>
            <w:top w:val="none" w:sz="0" w:space="0" w:color="auto"/>
            <w:left w:val="none" w:sz="0" w:space="0" w:color="auto"/>
            <w:bottom w:val="none" w:sz="0" w:space="0" w:color="auto"/>
            <w:right w:val="none" w:sz="0" w:space="0" w:color="auto"/>
          </w:divBdr>
          <w:divsChild>
            <w:div w:id="508450069">
              <w:marLeft w:val="0"/>
              <w:marRight w:val="0"/>
              <w:marTop w:val="0"/>
              <w:marBottom w:val="0"/>
              <w:divBdr>
                <w:top w:val="none" w:sz="0" w:space="0" w:color="auto"/>
                <w:left w:val="none" w:sz="0" w:space="0" w:color="auto"/>
                <w:bottom w:val="none" w:sz="0" w:space="0" w:color="auto"/>
                <w:right w:val="none" w:sz="0" w:space="0" w:color="auto"/>
              </w:divBdr>
            </w:div>
          </w:divsChild>
        </w:div>
        <w:div w:id="1659260414">
          <w:marLeft w:val="0"/>
          <w:marRight w:val="0"/>
          <w:marTop w:val="0"/>
          <w:marBottom w:val="0"/>
          <w:divBdr>
            <w:top w:val="none" w:sz="0" w:space="0" w:color="auto"/>
            <w:left w:val="none" w:sz="0" w:space="0" w:color="auto"/>
            <w:bottom w:val="none" w:sz="0" w:space="0" w:color="auto"/>
            <w:right w:val="none" w:sz="0" w:space="0" w:color="auto"/>
          </w:divBdr>
          <w:divsChild>
            <w:div w:id="157038258">
              <w:marLeft w:val="0"/>
              <w:marRight w:val="0"/>
              <w:marTop w:val="0"/>
              <w:marBottom w:val="0"/>
              <w:divBdr>
                <w:top w:val="none" w:sz="0" w:space="0" w:color="auto"/>
                <w:left w:val="none" w:sz="0" w:space="0" w:color="auto"/>
                <w:bottom w:val="none" w:sz="0" w:space="0" w:color="auto"/>
                <w:right w:val="none" w:sz="0" w:space="0" w:color="auto"/>
              </w:divBdr>
            </w:div>
          </w:divsChild>
        </w:div>
        <w:div w:id="1309091992">
          <w:marLeft w:val="0"/>
          <w:marRight w:val="0"/>
          <w:marTop w:val="0"/>
          <w:marBottom w:val="0"/>
          <w:divBdr>
            <w:top w:val="none" w:sz="0" w:space="0" w:color="auto"/>
            <w:left w:val="none" w:sz="0" w:space="0" w:color="auto"/>
            <w:bottom w:val="none" w:sz="0" w:space="0" w:color="auto"/>
            <w:right w:val="none" w:sz="0" w:space="0" w:color="auto"/>
          </w:divBdr>
          <w:divsChild>
            <w:div w:id="804657686">
              <w:marLeft w:val="0"/>
              <w:marRight w:val="0"/>
              <w:marTop w:val="0"/>
              <w:marBottom w:val="0"/>
              <w:divBdr>
                <w:top w:val="none" w:sz="0" w:space="0" w:color="auto"/>
                <w:left w:val="none" w:sz="0" w:space="0" w:color="auto"/>
                <w:bottom w:val="none" w:sz="0" w:space="0" w:color="auto"/>
                <w:right w:val="none" w:sz="0" w:space="0" w:color="auto"/>
              </w:divBdr>
            </w:div>
          </w:divsChild>
        </w:div>
        <w:div w:id="1000234417">
          <w:marLeft w:val="0"/>
          <w:marRight w:val="0"/>
          <w:marTop w:val="0"/>
          <w:marBottom w:val="0"/>
          <w:divBdr>
            <w:top w:val="none" w:sz="0" w:space="0" w:color="auto"/>
            <w:left w:val="none" w:sz="0" w:space="0" w:color="auto"/>
            <w:bottom w:val="none" w:sz="0" w:space="0" w:color="auto"/>
            <w:right w:val="none" w:sz="0" w:space="0" w:color="auto"/>
          </w:divBdr>
          <w:divsChild>
            <w:div w:id="1934122769">
              <w:marLeft w:val="0"/>
              <w:marRight w:val="0"/>
              <w:marTop w:val="0"/>
              <w:marBottom w:val="0"/>
              <w:divBdr>
                <w:top w:val="none" w:sz="0" w:space="0" w:color="auto"/>
                <w:left w:val="none" w:sz="0" w:space="0" w:color="auto"/>
                <w:bottom w:val="none" w:sz="0" w:space="0" w:color="auto"/>
                <w:right w:val="none" w:sz="0" w:space="0" w:color="auto"/>
              </w:divBdr>
            </w:div>
          </w:divsChild>
        </w:div>
        <w:div w:id="929898486">
          <w:marLeft w:val="0"/>
          <w:marRight w:val="0"/>
          <w:marTop w:val="0"/>
          <w:marBottom w:val="0"/>
          <w:divBdr>
            <w:top w:val="none" w:sz="0" w:space="0" w:color="auto"/>
            <w:left w:val="none" w:sz="0" w:space="0" w:color="auto"/>
            <w:bottom w:val="none" w:sz="0" w:space="0" w:color="auto"/>
            <w:right w:val="none" w:sz="0" w:space="0" w:color="auto"/>
          </w:divBdr>
          <w:divsChild>
            <w:div w:id="1952281503">
              <w:marLeft w:val="0"/>
              <w:marRight w:val="0"/>
              <w:marTop w:val="0"/>
              <w:marBottom w:val="0"/>
              <w:divBdr>
                <w:top w:val="none" w:sz="0" w:space="0" w:color="auto"/>
                <w:left w:val="none" w:sz="0" w:space="0" w:color="auto"/>
                <w:bottom w:val="none" w:sz="0" w:space="0" w:color="auto"/>
                <w:right w:val="none" w:sz="0" w:space="0" w:color="auto"/>
              </w:divBdr>
            </w:div>
          </w:divsChild>
        </w:div>
        <w:div w:id="57629468">
          <w:marLeft w:val="0"/>
          <w:marRight w:val="0"/>
          <w:marTop w:val="0"/>
          <w:marBottom w:val="0"/>
          <w:divBdr>
            <w:top w:val="none" w:sz="0" w:space="0" w:color="auto"/>
            <w:left w:val="none" w:sz="0" w:space="0" w:color="auto"/>
            <w:bottom w:val="none" w:sz="0" w:space="0" w:color="auto"/>
            <w:right w:val="none" w:sz="0" w:space="0" w:color="auto"/>
          </w:divBdr>
          <w:divsChild>
            <w:div w:id="625889939">
              <w:marLeft w:val="0"/>
              <w:marRight w:val="0"/>
              <w:marTop w:val="0"/>
              <w:marBottom w:val="0"/>
              <w:divBdr>
                <w:top w:val="none" w:sz="0" w:space="0" w:color="auto"/>
                <w:left w:val="none" w:sz="0" w:space="0" w:color="auto"/>
                <w:bottom w:val="none" w:sz="0" w:space="0" w:color="auto"/>
                <w:right w:val="none" w:sz="0" w:space="0" w:color="auto"/>
              </w:divBdr>
            </w:div>
          </w:divsChild>
        </w:div>
        <w:div w:id="918832349">
          <w:marLeft w:val="0"/>
          <w:marRight w:val="0"/>
          <w:marTop w:val="0"/>
          <w:marBottom w:val="0"/>
          <w:divBdr>
            <w:top w:val="none" w:sz="0" w:space="0" w:color="auto"/>
            <w:left w:val="none" w:sz="0" w:space="0" w:color="auto"/>
            <w:bottom w:val="none" w:sz="0" w:space="0" w:color="auto"/>
            <w:right w:val="none" w:sz="0" w:space="0" w:color="auto"/>
          </w:divBdr>
          <w:divsChild>
            <w:div w:id="1646550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16387">
      <w:bodyDiv w:val="1"/>
      <w:marLeft w:val="0"/>
      <w:marRight w:val="0"/>
      <w:marTop w:val="0"/>
      <w:marBottom w:val="0"/>
      <w:divBdr>
        <w:top w:val="none" w:sz="0" w:space="0" w:color="auto"/>
        <w:left w:val="none" w:sz="0" w:space="0" w:color="auto"/>
        <w:bottom w:val="none" w:sz="0" w:space="0" w:color="auto"/>
        <w:right w:val="none" w:sz="0" w:space="0" w:color="auto"/>
      </w:divBdr>
      <w:divsChild>
        <w:div w:id="1685356524">
          <w:marLeft w:val="0"/>
          <w:marRight w:val="0"/>
          <w:marTop w:val="0"/>
          <w:marBottom w:val="0"/>
          <w:divBdr>
            <w:top w:val="none" w:sz="0" w:space="0" w:color="auto"/>
            <w:left w:val="none" w:sz="0" w:space="0" w:color="auto"/>
            <w:bottom w:val="none" w:sz="0" w:space="0" w:color="auto"/>
            <w:right w:val="none" w:sz="0" w:space="0" w:color="auto"/>
          </w:divBdr>
          <w:divsChild>
            <w:div w:id="1506431665">
              <w:marLeft w:val="0"/>
              <w:marRight w:val="0"/>
              <w:marTop w:val="0"/>
              <w:marBottom w:val="0"/>
              <w:divBdr>
                <w:top w:val="none" w:sz="0" w:space="0" w:color="auto"/>
                <w:left w:val="none" w:sz="0" w:space="0" w:color="auto"/>
                <w:bottom w:val="none" w:sz="0" w:space="0" w:color="auto"/>
                <w:right w:val="none" w:sz="0" w:space="0" w:color="auto"/>
              </w:divBdr>
              <w:divsChild>
                <w:div w:id="514272562">
                  <w:marLeft w:val="0"/>
                  <w:marRight w:val="0"/>
                  <w:marTop w:val="0"/>
                  <w:marBottom w:val="0"/>
                  <w:divBdr>
                    <w:top w:val="none" w:sz="0" w:space="0" w:color="auto"/>
                    <w:left w:val="none" w:sz="0" w:space="0" w:color="auto"/>
                    <w:bottom w:val="none" w:sz="0" w:space="0" w:color="auto"/>
                    <w:right w:val="none" w:sz="0" w:space="0" w:color="auto"/>
                  </w:divBdr>
                  <w:divsChild>
                    <w:div w:id="1458721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3581131">
      <w:bodyDiv w:val="1"/>
      <w:marLeft w:val="0"/>
      <w:marRight w:val="0"/>
      <w:marTop w:val="0"/>
      <w:marBottom w:val="0"/>
      <w:divBdr>
        <w:top w:val="none" w:sz="0" w:space="0" w:color="auto"/>
        <w:left w:val="none" w:sz="0" w:space="0" w:color="auto"/>
        <w:bottom w:val="none" w:sz="0" w:space="0" w:color="auto"/>
        <w:right w:val="none" w:sz="0" w:space="0" w:color="auto"/>
      </w:divBdr>
    </w:div>
    <w:div w:id="624576699">
      <w:bodyDiv w:val="1"/>
      <w:marLeft w:val="0"/>
      <w:marRight w:val="0"/>
      <w:marTop w:val="0"/>
      <w:marBottom w:val="0"/>
      <w:divBdr>
        <w:top w:val="none" w:sz="0" w:space="0" w:color="auto"/>
        <w:left w:val="none" w:sz="0" w:space="0" w:color="auto"/>
        <w:bottom w:val="none" w:sz="0" w:space="0" w:color="auto"/>
        <w:right w:val="none" w:sz="0" w:space="0" w:color="auto"/>
      </w:divBdr>
      <w:divsChild>
        <w:div w:id="1416784734">
          <w:marLeft w:val="0"/>
          <w:marRight w:val="0"/>
          <w:marTop w:val="0"/>
          <w:marBottom w:val="0"/>
          <w:divBdr>
            <w:top w:val="none" w:sz="0" w:space="0" w:color="auto"/>
            <w:left w:val="none" w:sz="0" w:space="0" w:color="auto"/>
            <w:bottom w:val="none" w:sz="0" w:space="0" w:color="auto"/>
            <w:right w:val="none" w:sz="0" w:space="0" w:color="auto"/>
          </w:divBdr>
          <w:divsChild>
            <w:div w:id="191849164">
              <w:marLeft w:val="0"/>
              <w:marRight w:val="0"/>
              <w:marTop w:val="0"/>
              <w:marBottom w:val="0"/>
              <w:divBdr>
                <w:top w:val="none" w:sz="0" w:space="0" w:color="auto"/>
                <w:left w:val="none" w:sz="0" w:space="0" w:color="auto"/>
                <w:bottom w:val="none" w:sz="0" w:space="0" w:color="auto"/>
                <w:right w:val="none" w:sz="0" w:space="0" w:color="auto"/>
              </w:divBdr>
              <w:divsChild>
                <w:div w:id="907149402">
                  <w:marLeft w:val="0"/>
                  <w:marRight w:val="0"/>
                  <w:marTop w:val="0"/>
                  <w:marBottom w:val="0"/>
                  <w:divBdr>
                    <w:top w:val="none" w:sz="0" w:space="0" w:color="auto"/>
                    <w:left w:val="none" w:sz="0" w:space="0" w:color="auto"/>
                    <w:bottom w:val="none" w:sz="0" w:space="0" w:color="auto"/>
                    <w:right w:val="none" w:sz="0" w:space="0" w:color="auto"/>
                  </w:divBdr>
                  <w:divsChild>
                    <w:div w:id="1156069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8894615">
      <w:bodyDiv w:val="1"/>
      <w:marLeft w:val="0"/>
      <w:marRight w:val="0"/>
      <w:marTop w:val="0"/>
      <w:marBottom w:val="0"/>
      <w:divBdr>
        <w:top w:val="none" w:sz="0" w:space="0" w:color="auto"/>
        <w:left w:val="none" w:sz="0" w:space="0" w:color="auto"/>
        <w:bottom w:val="none" w:sz="0" w:space="0" w:color="auto"/>
        <w:right w:val="none" w:sz="0" w:space="0" w:color="auto"/>
      </w:divBdr>
    </w:div>
    <w:div w:id="684022085">
      <w:bodyDiv w:val="1"/>
      <w:marLeft w:val="0"/>
      <w:marRight w:val="0"/>
      <w:marTop w:val="0"/>
      <w:marBottom w:val="0"/>
      <w:divBdr>
        <w:top w:val="none" w:sz="0" w:space="0" w:color="auto"/>
        <w:left w:val="none" w:sz="0" w:space="0" w:color="auto"/>
        <w:bottom w:val="none" w:sz="0" w:space="0" w:color="auto"/>
        <w:right w:val="none" w:sz="0" w:space="0" w:color="auto"/>
      </w:divBdr>
      <w:divsChild>
        <w:div w:id="1710449962">
          <w:marLeft w:val="0"/>
          <w:marRight w:val="0"/>
          <w:marTop w:val="0"/>
          <w:marBottom w:val="0"/>
          <w:divBdr>
            <w:top w:val="none" w:sz="0" w:space="0" w:color="auto"/>
            <w:left w:val="none" w:sz="0" w:space="0" w:color="auto"/>
            <w:bottom w:val="none" w:sz="0" w:space="0" w:color="auto"/>
            <w:right w:val="none" w:sz="0" w:space="0" w:color="auto"/>
          </w:divBdr>
          <w:divsChild>
            <w:div w:id="367528766">
              <w:marLeft w:val="0"/>
              <w:marRight w:val="0"/>
              <w:marTop w:val="0"/>
              <w:marBottom w:val="0"/>
              <w:divBdr>
                <w:top w:val="none" w:sz="0" w:space="0" w:color="auto"/>
                <w:left w:val="none" w:sz="0" w:space="0" w:color="auto"/>
                <w:bottom w:val="none" w:sz="0" w:space="0" w:color="auto"/>
                <w:right w:val="none" w:sz="0" w:space="0" w:color="auto"/>
              </w:divBdr>
              <w:divsChild>
                <w:div w:id="1634166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9940461">
      <w:bodyDiv w:val="1"/>
      <w:marLeft w:val="0"/>
      <w:marRight w:val="0"/>
      <w:marTop w:val="0"/>
      <w:marBottom w:val="0"/>
      <w:divBdr>
        <w:top w:val="none" w:sz="0" w:space="0" w:color="auto"/>
        <w:left w:val="none" w:sz="0" w:space="0" w:color="auto"/>
        <w:bottom w:val="none" w:sz="0" w:space="0" w:color="auto"/>
        <w:right w:val="none" w:sz="0" w:space="0" w:color="auto"/>
      </w:divBdr>
      <w:divsChild>
        <w:div w:id="1833061205">
          <w:marLeft w:val="0"/>
          <w:marRight w:val="0"/>
          <w:marTop w:val="0"/>
          <w:marBottom w:val="0"/>
          <w:divBdr>
            <w:top w:val="none" w:sz="0" w:space="0" w:color="auto"/>
            <w:left w:val="none" w:sz="0" w:space="0" w:color="auto"/>
            <w:bottom w:val="none" w:sz="0" w:space="0" w:color="auto"/>
            <w:right w:val="none" w:sz="0" w:space="0" w:color="auto"/>
          </w:divBdr>
          <w:divsChild>
            <w:div w:id="1583677906">
              <w:marLeft w:val="0"/>
              <w:marRight w:val="0"/>
              <w:marTop w:val="0"/>
              <w:marBottom w:val="0"/>
              <w:divBdr>
                <w:top w:val="none" w:sz="0" w:space="0" w:color="auto"/>
                <w:left w:val="none" w:sz="0" w:space="0" w:color="auto"/>
                <w:bottom w:val="none" w:sz="0" w:space="0" w:color="auto"/>
                <w:right w:val="none" w:sz="0" w:space="0" w:color="auto"/>
              </w:divBdr>
              <w:divsChild>
                <w:div w:id="1243876822">
                  <w:marLeft w:val="0"/>
                  <w:marRight w:val="0"/>
                  <w:marTop w:val="0"/>
                  <w:marBottom w:val="0"/>
                  <w:divBdr>
                    <w:top w:val="none" w:sz="0" w:space="0" w:color="auto"/>
                    <w:left w:val="none" w:sz="0" w:space="0" w:color="auto"/>
                    <w:bottom w:val="none" w:sz="0" w:space="0" w:color="auto"/>
                    <w:right w:val="none" w:sz="0" w:space="0" w:color="auto"/>
                  </w:divBdr>
                  <w:divsChild>
                    <w:div w:id="684288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5589886">
      <w:bodyDiv w:val="1"/>
      <w:marLeft w:val="0"/>
      <w:marRight w:val="0"/>
      <w:marTop w:val="0"/>
      <w:marBottom w:val="0"/>
      <w:divBdr>
        <w:top w:val="none" w:sz="0" w:space="0" w:color="auto"/>
        <w:left w:val="none" w:sz="0" w:space="0" w:color="auto"/>
        <w:bottom w:val="none" w:sz="0" w:space="0" w:color="auto"/>
        <w:right w:val="none" w:sz="0" w:space="0" w:color="auto"/>
      </w:divBdr>
    </w:div>
    <w:div w:id="750735657">
      <w:bodyDiv w:val="1"/>
      <w:marLeft w:val="0"/>
      <w:marRight w:val="0"/>
      <w:marTop w:val="0"/>
      <w:marBottom w:val="0"/>
      <w:divBdr>
        <w:top w:val="none" w:sz="0" w:space="0" w:color="auto"/>
        <w:left w:val="none" w:sz="0" w:space="0" w:color="auto"/>
        <w:bottom w:val="none" w:sz="0" w:space="0" w:color="auto"/>
        <w:right w:val="none" w:sz="0" w:space="0" w:color="auto"/>
      </w:divBdr>
    </w:div>
    <w:div w:id="755321646">
      <w:bodyDiv w:val="1"/>
      <w:marLeft w:val="0"/>
      <w:marRight w:val="0"/>
      <w:marTop w:val="0"/>
      <w:marBottom w:val="0"/>
      <w:divBdr>
        <w:top w:val="none" w:sz="0" w:space="0" w:color="auto"/>
        <w:left w:val="none" w:sz="0" w:space="0" w:color="auto"/>
        <w:bottom w:val="none" w:sz="0" w:space="0" w:color="auto"/>
        <w:right w:val="none" w:sz="0" w:space="0" w:color="auto"/>
      </w:divBdr>
      <w:divsChild>
        <w:div w:id="267084416">
          <w:marLeft w:val="0"/>
          <w:marRight w:val="0"/>
          <w:marTop w:val="0"/>
          <w:marBottom w:val="0"/>
          <w:divBdr>
            <w:top w:val="none" w:sz="0" w:space="0" w:color="auto"/>
            <w:left w:val="none" w:sz="0" w:space="0" w:color="auto"/>
            <w:bottom w:val="none" w:sz="0" w:space="0" w:color="auto"/>
            <w:right w:val="none" w:sz="0" w:space="0" w:color="auto"/>
          </w:divBdr>
          <w:divsChild>
            <w:div w:id="761485759">
              <w:marLeft w:val="0"/>
              <w:marRight w:val="0"/>
              <w:marTop w:val="0"/>
              <w:marBottom w:val="0"/>
              <w:divBdr>
                <w:top w:val="none" w:sz="0" w:space="0" w:color="auto"/>
                <w:left w:val="none" w:sz="0" w:space="0" w:color="auto"/>
                <w:bottom w:val="none" w:sz="0" w:space="0" w:color="auto"/>
                <w:right w:val="none" w:sz="0" w:space="0" w:color="auto"/>
              </w:divBdr>
            </w:div>
          </w:divsChild>
        </w:div>
        <w:div w:id="318844455">
          <w:marLeft w:val="0"/>
          <w:marRight w:val="0"/>
          <w:marTop w:val="0"/>
          <w:marBottom w:val="0"/>
          <w:divBdr>
            <w:top w:val="none" w:sz="0" w:space="0" w:color="auto"/>
            <w:left w:val="none" w:sz="0" w:space="0" w:color="auto"/>
            <w:bottom w:val="none" w:sz="0" w:space="0" w:color="auto"/>
            <w:right w:val="none" w:sz="0" w:space="0" w:color="auto"/>
          </w:divBdr>
          <w:divsChild>
            <w:div w:id="1916084787">
              <w:marLeft w:val="0"/>
              <w:marRight w:val="0"/>
              <w:marTop w:val="0"/>
              <w:marBottom w:val="0"/>
              <w:divBdr>
                <w:top w:val="none" w:sz="0" w:space="0" w:color="auto"/>
                <w:left w:val="none" w:sz="0" w:space="0" w:color="auto"/>
                <w:bottom w:val="none" w:sz="0" w:space="0" w:color="auto"/>
                <w:right w:val="none" w:sz="0" w:space="0" w:color="auto"/>
              </w:divBdr>
            </w:div>
          </w:divsChild>
        </w:div>
        <w:div w:id="424571614">
          <w:marLeft w:val="0"/>
          <w:marRight w:val="0"/>
          <w:marTop w:val="0"/>
          <w:marBottom w:val="0"/>
          <w:divBdr>
            <w:top w:val="none" w:sz="0" w:space="0" w:color="auto"/>
            <w:left w:val="none" w:sz="0" w:space="0" w:color="auto"/>
            <w:bottom w:val="none" w:sz="0" w:space="0" w:color="auto"/>
            <w:right w:val="none" w:sz="0" w:space="0" w:color="auto"/>
          </w:divBdr>
          <w:divsChild>
            <w:div w:id="1217936943">
              <w:marLeft w:val="0"/>
              <w:marRight w:val="0"/>
              <w:marTop w:val="0"/>
              <w:marBottom w:val="0"/>
              <w:divBdr>
                <w:top w:val="none" w:sz="0" w:space="0" w:color="auto"/>
                <w:left w:val="none" w:sz="0" w:space="0" w:color="auto"/>
                <w:bottom w:val="none" w:sz="0" w:space="0" w:color="auto"/>
                <w:right w:val="none" w:sz="0" w:space="0" w:color="auto"/>
              </w:divBdr>
            </w:div>
          </w:divsChild>
        </w:div>
        <w:div w:id="489029838">
          <w:marLeft w:val="0"/>
          <w:marRight w:val="0"/>
          <w:marTop w:val="0"/>
          <w:marBottom w:val="0"/>
          <w:divBdr>
            <w:top w:val="none" w:sz="0" w:space="0" w:color="auto"/>
            <w:left w:val="none" w:sz="0" w:space="0" w:color="auto"/>
            <w:bottom w:val="none" w:sz="0" w:space="0" w:color="auto"/>
            <w:right w:val="none" w:sz="0" w:space="0" w:color="auto"/>
          </w:divBdr>
          <w:divsChild>
            <w:div w:id="662466892">
              <w:marLeft w:val="0"/>
              <w:marRight w:val="0"/>
              <w:marTop w:val="0"/>
              <w:marBottom w:val="0"/>
              <w:divBdr>
                <w:top w:val="none" w:sz="0" w:space="0" w:color="auto"/>
                <w:left w:val="none" w:sz="0" w:space="0" w:color="auto"/>
                <w:bottom w:val="none" w:sz="0" w:space="0" w:color="auto"/>
                <w:right w:val="none" w:sz="0" w:space="0" w:color="auto"/>
              </w:divBdr>
            </w:div>
          </w:divsChild>
        </w:div>
        <w:div w:id="520246637">
          <w:marLeft w:val="0"/>
          <w:marRight w:val="0"/>
          <w:marTop w:val="0"/>
          <w:marBottom w:val="0"/>
          <w:divBdr>
            <w:top w:val="none" w:sz="0" w:space="0" w:color="auto"/>
            <w:left w:val="none" w:sz="0" w:space="0" w:color="auto"/>
            <w:bottom w:val="none" w:sz="0" w:space="0" w:color="auto"/>
            <w:right w:val="none" w:sz="0" w:space="0" w:color="auto"/>
          </w:divBdr>
          <w:divsChild>
            <w:div w:id="1735740198">
              <w:marLeft w:val="0"/>
              <w:marRight w:val="0"/>
              <w:marTop w:val="0"/>
              <w:marBottom w:val="0"/>
              <w:divBdr>
                <w:top w:val="none" w:sz="0" w:space="0" w:color="auto"/>
                <w:left w:val="none" w:sz="0" w:space="0" w:color="auto"/>
                <w:bottom w:val="none" w:sz="0" w:space="0" w:color="auto"/>
                <w:right w:val="none" w:sz="0" w:space="0" w:color="auto"/>
              </w:divBdr>
            </w:div>
          </w:divsChild>
        </w:div>
        <w:div w:id="596137513">
          <w:marLeft w:val="0"/>
          <w:marRight w:val="0"/>
          <w:marTop w:val="0"/>
          <w:marBottom w:val="0"/>
          <w:divBdr>
            <w:top w:val="none" w:sz="0" w:space="0" w:color="auto"/>
            <w:left w:val="none" w:sz="0" w:space="0" w:color="auto"/>
            <w:bottom w:val="none" w:sz="0" w:space="0" w:color="auto"/>
            <w:right w:val="none" w:sz="0" w:space="0" w:color="auto"/>
          </w:divBdr>
          <w:divsChild>
            <w:div w:id="1363167838">
              <w:marLeft w:val="0"/>
              <w:marRight w:val="0"/>
              <w:marTop w:val="0"/>
              <w:marBottom w:val="0"/>
              <w:divBdr>
                <w:top w:val="none" w:sz="0" w:space="0" w:color="auto"/>
                <w:left w:val="none" w:sz="0" w:space="0" w:color="auto"/>
                <w:bottom w:val="none" w:sz="0" w:space="0" w:color="auto"/>
                <w:right w:val="none" w:sz="0" w:space="0" w:color="auto"/>
              </w:divBdr>
            </w:div>
          </w:divsChild>
        </w:div>
        <w:div w:id="723524908">
          <w:marLeft w:val="0"/>
          <w:marRight w:val="0"/>
          <w:marTop w:val="0"/>
          <w:marBottom w:val="0"/>
          <w:divBdr>
            <w:top w:val="none" w:sz="0" w:space="0" w:color="auto"/>
            <w:left w:val="none" w:sz="0" w:space="0" w:color="auto"/>
            <w:bottom w:val="none" w:sz="0" w:space="0" w:color="auto"/>
            <w:right w:val="none" w:sz="0" w:space="0" w:color="auto"/>
          </w:divBdr>
          <w:divsChild>
            <w:div w:id="1978760749">
              <w:marLeft w:val="0"/>
              <w:marRight w:val="0"/>
              <w:marTop w:val="0"/>
              <w:marBottom w:val="0"/>
              <w:divBdr>
                <w:top w:val="none" w:sz="0" w:space="0" w:color="auto"/>
                <w:left w:val="none" w:sz="0" w:space="0" w:color="auto"/>
                <w:bottom w:val="none" w:sz="0" w:space="0" w:color="auto"/>
                <w:right w:val="none" w:sz="0" w:space="0" w:color="auto"/>
              </w:divBdr>
            </w:div>
          </w:divsChild>
        </w:div>
        <w:div w:id="862670474">
          <w:marLeft w:val="0"/>
          <w:marRight w:val="0"/>
          <w:marTop w:val="0"/>
          <w:marBottom w:val="0"/>
          <w:divBdr>
            <w:top w:val="none" w:sz="0" w:space="0" w:color="auto"/>
            <w:left w:val="none" w:sz="0" w:space="0" w:color="auto"/>
            <w:bottom w:val="none" w:sz="0" w:space="0" w:color="auto"/>
            <w:right w:val="none" w:sz="0" w:space="0" w:color="auto"/>
          </w:divBdr>
          <w:divsChild>
            <w:div w:id="1811939416">
              <w:marLeft w:val="0"/>
              <w:marRight w:val="0"/>
              <w:marTop w:val="0"/>
              <w:marBottom w:val="0"/>
              <w:divBdr>
                <w:top w:val="none" w:sz="0" w:space="0" w:color="auto"/>
                <w:left w:val="none" w:sz="0" w:space="0" w:color="auto"/>
                <w:bottom w:val="none" w:sz="0" w:space="0" w:color="auto"/>
                <w:right w:val="none" w:sz="0" w:space="0" w:color="auto"/>
              </w:divBdr>
            </w:div>
          </w:divsChild>
        </w:div>
        <w:div w:id="1245185326">
          <w:marLeft w:val="0"/>
          <w:marRight w:val="0"/>
          <w:marTop w:val="0"/>
          <w:marBottom w:val="0"/>
          <w:divBdr>
            <w:top w:val="none" w:sz="0" w:space="0" w:color="auto"/>
            <w:left w:val="none" w:sz="0" w:space="0" w:color="auto"/>
            <w:bottom w:val="none" w:sz="0" w:space="0" w:color="auto"/>
            <w:right w:val="none" w:sz="0" w:space="0" w:color="auto"/>
          </w:divBdr>
          <w:divsChild>
            <w:div w:id="486745696">
              <w:marLeft w:val="0"/>
              <w:marRight w:val="0"/>
              <w:marTop w:val="0"/>
              <w:marBottom w:val="0"/>
              <w:divBdr>
                <w:top w:val="none" w:sz="0" w:space="0" w:color="auto"/>
                <w:left w:val="none" w:sz="0" w:space="0" w:color="auto"/>
                <w:bottom w:val="none" w:sz="0" w:space="0" w:color="auto"/>
                <w:right w:val="none" w:sz="0" w:space="0" w:color="auto"/>
              </w:divBdr>
            </w:div>
          </w:divsChild>
        </w:div>
        <w:div w:id="1311521415">
          <w:marLeft w:val="0"/>
          <w:marRight w:val="0"/>
          <w:marTop w:val="0"/>
          <w:marBottom w:val="0"/>
          <w:divBdr>
            <w:top w:val="none" w:sz="0" w:space="0" w:color="auto"/>
            <w:left w:val="none" w:sz="0" w:space="0" w:color="auto"/>
            <w:bottom w:val="none" w:sz="0" w:space="0" w:color="auto"/>
            <w:right w:val="none" w:sz="0" w:space="0" w:color="auto"/>
          </w:divBdr>
          <w:divsChild>
            <w:div w:id="2058317620">
              <w:marLeft w:val="0"/>
              <w:marRight w:val="0"/>
              <w:marTop w:val="0"/>
              <w:marBottom w:val="0"/>
              <w:divBdr>
                <w:top w:val="none" w:sz="0" w:space="0" w:color="auto"/>
                <w:left w:val="none" w:sz="0" w:space="0" w:color="auto"/>
                <w:bottom w:val="none" w:sz="0" w:space="0" w:color="auto"/>
                <w:right w:val="none" w:sz="0" w:space="0" w:color="auto"/>
              </w:divBdr>
            </w:div>
          </w:divsChild>
        </w:div>
        <w:div w:id="1395278866">
          <w:marLeft w:val="0"/>
          <w:marRight w:val="0"/>
          <w:marTop w:val="0"/>
          <w:marBottom w:val="0"/>
          <w:divBdr>
            <w:top w:val="none" w:sz="0" w:space="0" w:color="auto"/>
            <w:left w:val="none" w:sz="0" w:space="0" w:color="auto"/>
            <w:bottom w:val="none" w:sz="0" w:space="0" w:color="auto"/>
            <w:right w:val="none" w:sz="0" w:space="0" w:color="auto"/>
          </w:divBdr>
          <w:divsChild>
            <w:div w:id="345637413">
              <w:marLeft w:val="0"/>
              <w:marRight w:val="0"/>
              <w:marTop w:val="0"/>
              <w:marBottom w:val="0"/>
              <w:divBdr>
                <w:top w:val="none" w:sz="0" w:space="0" w:color="auto"/>
                <w:left w:val="none" w:sz="0" w:space="0" w:color="auto"/>
                <w:bottom w:val="none" w:sz="0" w:space="0" w:color="auto"/>
                <w:right w:val="none" w:sz="0" w:space="0" w:color="auto"/>
              </w:divBdr>
            </w:div>
          </w:divsChild>
        </w:div>
        <w:div w:id="1403723572">
          <w:marLeft w:val="0"/>
          <w:marRight w:val="0"/>
          <w:marTop w:val="0"/>
          <w:marBottom w:val="0"/>
          <w:divBdr>
            <w:top w:val="none" w:sz="0" w:space="0" w:color="auto"/>
            <w:left w:val="none" w:sz="0" w:space="0" w:color="auto"/>
            <w:bottom w:val="none" w:sz="0" w:space="0" w:color="auto"/>
            <w:right w:val="none" w:sz="0" w:space="0" w:color="auto"/>
          </w:divBdr>
          <w:divsChild>
            <w:div w:id="1819496979">
              <w:marLeft w:val="0"/>
              <w:marRight w:val="0"/>
              <w:marTop w:val="0"/>
              <w:marBottom w:val="0"/>
              <w:divBdr>
                <w:top w:val="none" w:sz="0" w:space="0" w:color="auto"/>
                <w:left w:val="none" w:sz="0" w:space="0" w:color="auto"/>
                <w:bottom w:val="none" w:sz="0" w:space="0" w:color="auto"/>
                <w:right w:val="none" w:sz="0" w:space="0" w:color="auto"/>
              </w:divBdr>
            </w:div>
          </w:divsChild>
        </w:div>
        <w:div w:id="1492335634">
          <w:marLeft w:val="0"/>
          <w:marRight w:val="0"/>
          <w:marTop w:val="0"/>
          <w:marBottom w:val="0"/>
          <w:divBdr>
            <w:top w:val="none" w:sz="0" w:space="0" w:color="auto"/>
            <w:left w:val="none" w:sz="0" w:space="0" w:color="auto"/>
            <w:bottom w:val="none" w:sz="0" w:space="0" w:color="auto"/>
            <w:right w:val="none" w:sz="0" w:space="0" w:color="auto"/>
          </w:divBdr>
          <w:divsChild>
            <w:div w:id="564024195">
              <w:marLeft w:val="0"/>
              <w:marRight w:val="0"/>
              <w:marTop w:val="0"/>
              <w:marBottom w:val="0"/>
              <w:divBdr>
                <w:top w:val="none" w:sz="0" w:space="0" w:color="auto"/>
                <w:left w:val="none" w:sz="0" w:space="0" w:color="auto"/>
                <w:bottom w:val="none" w:sz="0" w:space="0" w:color="auto"/>
                <w:right w:val="none" w:sz="0" w:space="0" w:color="auto"/>
              </w:divBdr>
            </w:div>
          </w:divsChild>
        </w:div>
        <w:div w:id="1524005809">
          <w:marLeft w:val="0"/>
          <w:marRight w:val="0"/>
          <w:marTop w:val="0"/>
          <w:marBottom w:val="0"/>
          <w:divBdr>
            <w:top w:val="none" w:sz="0" w:space="0" w:color="auto"/>
            <w:left w:val="none" w:sz="0" w:space="0" w:color="auto"/>
            <w:bottom w:val="none" w:sz="0" w:space="0" w:color="auto"/>
            <w:right w:val="none" w:sz="0" w:space="0" w:color="auto"/>
          </w:divBdr>
          <w:divsChild>
            <w:div w:id="1989935470">
              <w:marLeft w:val="0"/>
              <w:marRight w:val="0"/>
              <w:marTop w:val="0"/>
              <w:marBottom w:val="0"/>
              <w:divBdr>
                <w:top w:val="none" w:sz="0" w:space="0" w:color="auto"/>
                <w:left w:val="none" w:sz="0" w:space="0" w:color="auto"/>
                <w:bottom w:val="none" w:sz="0" w:space="0" w:color="auto"/>
                <w:right w:val="none" w:sz="0" w:space="0" w:color="auto"/>
              </w:divBdr>
            </w:div>
          </w:divsChild>
        </w:div>
        <w:div w:id="1715544403">
          <w:marLeft w:val="0"/>
          <w:marRight w:val="0"/>
          <w:marTop w:val="0"/>
          <w:marBottom w:val="0"/>
          <w:divBdr>
            <w:top w:val="none" w:sz="0" w:space="0" w:color="auto"/>
            <w:left w:val="none" w:sz="0" w:space="0" w:color="auto"/>
            <w:bottom w:val="none" w:sz="0" w:space="0" w:color="auto"/>
            <w:right w:val="none" w:sz="0" w:space="0" w:color="auto"/>
          </w:divBdr>
          <w:divsChild>
            <w:div w:id="1236622221">
              <w:marLeft w:val="0"/>
              <w:marRight w:val="0"/>
              <w:marTop w:val="0"/>
              <w:marBottom w:val="0"/>
              <w:divBdr>
                <w:top w:val="none" w:sz="0" w:space="0" w:color="auto"/>
                <w:left w:val="none" w:sz="0" w:space="0" w:color="auto"/>
                <w:bottom w:val="none" w:sz="0" w:space="0" w:color="auto"/>
                <w:right w:val="none" w:sz="0" w:space="0" w:color="auto"/>
              </w:divBdr>
            </w:div>
          </w:divsChild>
        </w:div>
        <w:div w:id="1810633211">
          <w:marLeft w:val="0"/>
          <w:marRight w:val="0"/>
          <w:marTop w:val="0"/>
          <w:marBottom w:val="0"/>
          <w:divBdr>
            <w:top w:val="none" w:sz="0" w:space="0" w:color="auto"/>
            <w:left w:val="none" w:sz="0" w:space="0" w:color="auto"/>
            <w:bottom w:val="none" w:sz="0" w:space="0" w:color="auto"/>
            <w:right w:val="none" w:sz="0" w:space="0" w:color="auto"/>
          </w:divBdr>
          <w:divsChild>
            <w:div w:id="1720275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3309706">
      <w:bodyDiv w:val="1"/>
      <w:marLeft w:val="0"/>
      <w:marRight w:val="0"/>
      <w:marTop w:val="0"/>
      <w:marBottom w:val="0"/>
      <w:divBdr>
        <w:top w:val="none" w:sz="0" w:space="0" w:color="auto"/>
        <w:left w:val="none" w:sz="0" w:space="0" w:color="auto"/>
        <w:bottom w:val="none" w:sz="0" w:space="0" w:color="auto"/>
        <w:right w:val="none" w:sz="0" w:space="0" w:color="auto"/>
      </w:divBdr>
    </w:div>
    <w:div w:id="779682037">
      <w:bodyDiv w:val="1"/>
      <w:marLeft w:val="0"/>
      <w:marRight w:val="0"/>
      <w:marTop w:val="0"/>
      <w:marBottom w:val="0"/>
      <w:divBdr>
        <w:top w:val="none" w:sz="0" w:space="0" w:color="auto"/>
        <w:left w:val="none" w:sz="0" w:space="0" w:color="auto"/>
        <w:bottom w:val="none" w:sz="0" w:space="0" w:color="auto"/>
        <w:right w:val="none" w:sz="0" w:space="0" w:color="auto"/>
      </w:divBdr>
      <w:divsChild>
        <w:div w:id="1305741961">
          <w:marLeft w:val="0"/>
          <w:marRight w:val="0"/>
          <w:marTop w:val="0"/>
          <w:marBottom w:val="0"/>
          <w:divBdr>
            <w:top w:val="none" w:sz="0" w:space="0" w:color="auto"/>
            <w:left w:val="none" w:sz="0" w:space="0" w:color="auto"/>
            <w:bottom w:val="none" w:sz="0" w:space="0" w:color="auto"/>
            <w:right w:val="none" w:sz="0" w:space="0" w:color="auto"/>
          </w:divBdr>
          <w:divsChild>
            <w:div w:id="1319192203">
              <w:marLeft w:val="0"/>
              <w:marRight w:val="0"/>
              <w:marTop w:val="0"/>
              <w:marBottom w:val="0"/>
              <w:divBdr>
                <w:top w:val="none" w:sz="0" w:space="0" w:color="auto"/>
                <w:left w:val="none" w:sz="0" w:space="0" w:color="auto"/>
                <w:bottom w:val="none" w:sz="0" w:space="0" w:color="auto"/>
                <w:right w:val="none" w:sz="0" w:space="0" w:color="auto"/>
              </w:divBdr>
              <w:divsChild>
                <w:div w:id="316540093">
                  <w:marLeft w:val="0"/>
                  <w:marRight w:val="0"/>
                  <w:marTop w:val="0"/>
                  <w:marBottom w:val="0"/>
                  <w:divBdr>
                    <w:top w:val="none" w:sz="0" w:space="0" w:color="auto"/>
                    <w:left w:val="none" w:sz="0" w:space="0" w:color="auto"/>
                    <w:bottom w:val="none" w:sz="0" w:space="0" w:color="auto"/>
                    <w:right w:val="none" w:sz="0" w:space="0" w:color="auto"/>
                  </w:divBdr>
                  <w:divsChild>
                    <w:div w:id="121859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5045641">
      <w:bodyDiv w:val="1"/>
      <w:marLeft w:val="0"/>
      <w:marRight w:val="0"/>
      <w:marTop w:val="0"/>
      <w:marBottom w:val="0"/>
      <w:divBdr>
        <w:top w:val="none" w:sz="0" w:space="0" w:color="auto"/>
        <w:left w:val="none" w:sz="0" w:space="0" w:color="auto"/>
        <w:bottom w:val="none" w:sz="0" w:space="0" w:color="auto"/>
        <w:right w:val="none" w:sz="0" w:space="0" w:color="auto"/>
      </w:divBdr>
    </w:div>
    <w:div w:id="814448596">
      <w:bodyDiv w:val="1"/>
      <w:marLeft w:val="0"/>
      <w:marRight w:val="0"/>
      <w:marTop w:val="0"/>
      <w:marBottom w:val="0"/>
      <w:divBdr>
        <w:top w:val="none" w:sz="0" w:space="0" w:color="auto"/>
        <w:left w:val="none" w:sz="0" w:space="0" w:color="auto"/>
        <w:bottom w:val="none" w:sz="0" w:space="0" w:color="auto"/>
        <w:right w:val="none" w:sz="0" w:space="0" w:color="auto"/>
      </w:divBdr>
      <w:divsChild>
        <w:div w:id="2029678515">
          <w:marLeft w:val="0"/>
          <w:marRight w:val="0"/>
          <w:marTop w:val="0"/>
          <w:marBottom w:val="0"/>
          <w:divBdr>
            <w:top w:val="none" w:sz="0" w:space="0" w:color="auto"/>
            <w:left w:val="none" w:sz="0" w:space="0" w:color="auto"/>
            <w:bottom w:val="none" w:sz="0" w:space="0" w:color="auto"/>
            <w:right w:val="none" w:sz="0" w:space="0" w:color="auto"/>
          </w:divBdr>
        </w:div>
        <w:div w:id="1389380196">
          <w:marLeft w:val="0"/>
          <w:marRight w:val="0"/>
          <w:marTop w:val="0"/>
          <w:marBottom w:val="0"/>
          <w:divBdr>
            <w:top w:val="none" w:sz="0" w:space="0" w:color="auto"/>
            <w:left w:val="none" w:sz="0" w:space="0" w:color="auto"/>
            <w:bottom w:val="none" w:sz="0" w:space="0" w:color="auto"/>
            <w:right w:val="none" w:sz="0" w:space="0" w:color="auto"/>
          </w:divBdr>
        </w:div>
        <w:div w:id="198203644">
          <w:marLeft w:val="0"/>
          <w:marRight w:val="0"/>
          <w:marTop w:val="0"/>
          <w:marBottom w:val="0"/>
          <w:divBdr>
            <w:top w:val="none" w:sz="0" w:space="0" w:color="auto"/>
            <w:left w:val="none" w:sz="0" w:space="0" w:color="auto"/>
            <w:bottom w:val="none" w:sz="0" w:space="0" w:color="auto"/>
            <w:right w:val="none" w:sz="0" w:space="0" w:color="auto"/>
          </w:divBdr>
        </w:div>
        <w:div w:id="1394697783">
          <w:marLeft w:val="0"/>
          <w:marRight w:val="0"/>
          <w:marTop w:val="0"/>
          <w:marBottom w:val="0"/>
          <w:divBdr>
            <w:top w:val="none" w:sz="0" w:space="0" w:color="auto"/>
            <w:left w:val="none" w:sz="0" w:space="0" w:color="auto"/>
            <w:bottom w:val="none" w:sz="0" w:space="0" w:color="auto"/>
            <w:right w:val="none" w:sz="0" w:space="0" w:color="auto"/>
          </w:divBdr>
        </w:div>
        <w:div w:id="1995134548">
          <w:marLeft w:val="0"/>
          <w:marRight w:val="0"/>
          <w:marTop w:val="0"/>
          <w:marBottom w:val="0"/>
          <w:divBdr>
            <w:top w:val="none" w:sz="0" w:space="0" w:color="auto"/>
            <w:left w:val="none" w:sz="0" w:space="0" w:color="auto"/>
            <w:bottom w:val="none" w:sz="0" w:space="0" w:color="auto"/>
            <w:right w:val="none" w:sz="0" w:space="0" w:color="auto"/>
          </w:divBdr>
        </w:div>
        <w:div w:id="2135244605">
          <w:marLeft w:val="0"/>
          <w:marRight w:val="0"/>
          <w:marTop w:val="0"/>
          <w:marBottom w:val="0"/>
          <w:divBdr>
            <w:top w:val="none" w:sz="0" w:space="0" w:color="auto"/>
            <w:left w:val="none" w:sz="0" w:space="0" w:color="auto"/>
            <w:bottom w:val="none" w:sz="0" w:space="0" w:color="auto"/>
            <w:right w:val="none" w:sz="0" w:space="0" w:color="auto"/>
          </w:divBdr>
        </w:div>
        <w:div w:id="552500732">
          <w:marLeft w:val="0"/>
          <w:marRight w:val="0"/>
          <w:marTop w:val="0"/>
          <w:marBottom w:val="0"/>
          <w:divBdr>
            <w:top w:val="none" w:sz="0" w:space="0" w:color="auto"/>
            <w:left w:val="none" w:sz="0" w:space="0" w:color="auto"/>
            <w:bottom w:val="none" w:sz="0" w:space="0" w:color="auto"/>
            <w:right w:val="none" w:sz="0" w:space="0" w:color="auto"/>
          </w:divBdr>
        </w:div>
        <w:div w:id="1290164809">
          <w:marLeft w:val="0"/>
          <w:marRight w:val="0"/>
          <w:marTop w:val="0"/>
          <w:marBottom w:val="0"/>
          <w:divBdr>
            <w:top w:val="none" w:sz="0" w:space="0" w:color="auto"/>
            <w:left w:val="none" w:sz="0" w:space="0" w:color="auto"/>
            <w:bottom w:val="none" w:sz="0" w:space="0" w:color="auto"/>
            <w:right w:val="none" w:sz="0" w:space="0" w:color="auto"/>
          </w:divBdr>
        </w:div>
        <w:div w:id="854268332">
          <w:marLeft w:val="0"/>
          <w:marRight w:val="0"/>
          <w:marTop w:val="0"/>
          <w:marBottom w:val="0"/>
          <w:divBdr>
            <w:top w:val="none" w:sz="0" w:space="0" w:color="auto"/>
            <w:left w:val="none" w:sz="0" w:space="0" w:color="auto"/>
            <w:bottom w:val="none" w:sz="0" w:space="0" w:color="auto"/>
            <w:right w:val="none" w:sz="0" w:space="0" w:color="auto"/>
          </w:divBdr>
        </w:div>
        <w:div w:id="1641878692">
          <w:marLeft w:val="0"/>
          <w:marRight w:val="0"/>
          <w:marTop w:val="0"/>
          <w:marBottom w:val="0"/>
          <w:divBdr>
            <w:top w:val="none" w:sz="0" w:space="0" w:color="auto"/>
            <w:left w:val="none" w:sz="0" w:space="0" w:color="auto"/>
            <w:bottom w:val="none" w:sz="0" w:space="0" w:color="auto"/>
            <w:right w:val="none" w:sz="0" w:space="0" w:color="auto"/>
          </w:divBdr>
        </w:div>
        <w:div w:id="1499492051">
          <w:marLeft w:val="0"/>
          <w:marRight w:val="0"/>
          <w:marTop w:val="0"/>
          <w:marBottom w:val="0"/>
          <w:divBdr>
            <w:top w:val="none" w:sz="0" w:space="0" w:color="auto"/>
            <w:left w:val="none" w:sz="0" w:space="0" w:color="auto"/>
            <w:bottom w:val="none" w:sz="0" w:space="0" w:color="auto"/>
            <w:right w:val="none" w:sz="0" w:space="0" w:color="auto"/>
          </w:divBdr>
        </w:div>
        <w:div w:id="1310209869">
          <w:marLeft w:val="0"/>
          <w:marRight w:val="0"/>
          <w:marTop w:val="0"/>
          <w:marBottom w:val="0"/>
          <w:divBdr>
            <w:top w:val="none" w:sz="0" w:space="0" w:color="auto"/>
            <w:left w:val="none" w:sz="0" w:space="0" w:color="auto"/>
            <w:bottom w:val="none" w:sz="0" w:space="0" w:color="auto"/>
            <w:right w:val="none" w:sz="0" w:space="0" w:color="auto"/>
          </w:divBdr>
        </w:div>
        <w:div w:id="502746699">
          <w:marLeft w:val="0"/>
          <w:marRight w:val="0"/>
          <w:marTop w:val="0"/>
          <w:marBottom w:val="0"/>
          <w:divBdr>
            <w:top w:val="none" w:sz="0" w:space="0" w:color="auto"/>
            <w:left w:val="none" w:sz="0" w:space="0" w:color="auto"/>
            <w:bottom w:val="none" w:sz="0" w:space="0" w:color="auto"/>
            <w:right w:val="none" w:sz="0" w:space="0" w:color="auto"/>
          </w:divBdr>
        </w:div>
        <w:div w:id="1165825716">
          <w:marLeft w:val="0"/>
          <w:marRight w:val="0"/>
          <w:marTop w:val="0"/>
          <w:marBottom w:val="0"/>
          <w:divBdr>
            <w:top w:val="none" w:sz="0" w:space="0" w:color="auto"/>
            <w:left w:val="none" w:sz="0" w:space="0" w:color="auto"/>
            <w:bottom w:val="none" w:sz="0" w:space="0" w:color="auto"/>
            <w:right w:val="none" w:sz="0" w:space="0" w:color="auto"/>
          </w:divBdr>
        </w:div>
        <w:div w:id="391923535">
          <w:marLeft w:val="0"/>
          <w:marRight w:val="0"/>
          <w:marTop w:val="0"/>
          <w:marBottom w:val="0"/>
          <w:divBdr>
            <w:top w:val="none" w:sz="0" w:space="0" w:color="auto"/>
            <w:left w:val="none" w:sz="0" w:space="0" w:color="auto"/>
            <w:bottom w:val="none" w:sz="0" w:space="0" w:color="auto"/>
            <w:right w:val="none" w:sz="0" w:space="0" w:color="auto"/>
          </w:divBdr>
        </w:div>
        <w:div w:id="927276431">
          <w:marLeft w:val="0"/>
          <w:marRight w:val="0"/>
          <w:marTop w:val="0"/>
          <w:marBottom w:val="0"/>
          <w:divBdr>
            <w:top w:val="none" w:sz="0" w:space="0" w:color="auto"/>
            <w:left w:val="none" w:sz="0" w:space="0" w:color="auto"/>
            <w:bottom w:val="none" w:sz="0" w:space="0" w:color="auto"/>
            <w:right w:val="none" w:sz="0" w:space="0" w:color="auto"/>
          </w:divBdr>
        </w:div>
        <w:div w:id="2050371442">
          <w:marLeft w:val="0"/>
          <w:marRight w:val="0"/>
          <w:marTop w:val="0"/>
          <w:marBottom w:val="0"/>
          <w:divBdr>
            <w:top w:val="none" w:sz="0" w:space="0" w:color="auto"/>
            <w:left w:val="none" w:sz="0" w:space="0" w:color="auto"/>
            <w:bottom w:val="none" w:sz="0" w:space="0" w:color="auto"/>
            <w:right w:val="none" w:sz="0" w:space="0" w:color="auto"/>
          </w:divBdr>
        </w:div>
        <w:div w:id="1212114119">
          <w:marLeft w:val="0"/>
          <w:marRight w:val="0"/>
          <w:marTop w:val="0"/>
          <w:marBottom w:val="0"/>
          <w:divBdr>
            <w:top w:val="none" w:sz="0" w:space="0" w:color="auto"/>
            <w:left w:val="none" w:sz="0" w:space="0" w:color="auto"/>
            <w:bottom w:val="none" w:sz="0" w:space="0" w:color="auto"/>
            <w:right w:val="none" w:sz="0" w:space="0" w:color="auto"/>
          </w:divBdr>
        </w:div>
        <w:div w:id="1448425825">
          <w:marLeft w:val="0"/>
          <w:marRight w:val="0"/>
          <w:marTop w:val="0"/>
          <w:marBottom w:val="0"/>
          <w:divBdr>
            <w:top w:val="none" w:sz="0" w:space="0" w:color="auto"/>
            <w:left w:val="none" w:sz="0" w:space="0" w:color="auto"/>
            <w:bottom w:val="none" w:sz="0" w:space="0" w:color="auto"/>
            <w:right w:val="none" w:sz="0" w:space="0" w:color="auto"/>
          </w:divBdr>
        </w:div>
        <w:div w:id="1333988656">
          <w:marLeft w:val="0"/>
          <w:marRight w:val="0"/>
          <w:marTop w:val="0"/>
          <w:marBottom w:val="0"/>
          <w:divBdr>
            <w:top w:val="none" w:sz="0" w:space="0" w:color="auto"/>
            <w:left w:val="none" w:sz="0" w:space="0" w:color="auto"/>
            <w:bottom w:val="none" w:sz="0" w:space="0" w:color="auto"/>
            <w:right w:val="none" w:sz="0" w:space="0" w:color="auto"/>
          </w:divBdr>
        </w:div>
        <w:div w:id="2046326439">
          <w:marLeft w:val="0"/>
          <w:marRight w:val="0"/>
          <w:marTop w:val="0"/>
          <w:marBottom w:val="0"/>
          <w:divBdr>
            <w:top w:val="none" w:sz="0" w:space="0" w:color="auto"/>
            <w:left w:val="none" w:sz="0" w:space="0" w:color="auto"/>
            <w:bottom w:val="none" w:sz="0" w:space="0" w:color="auto"/>
            <w:right w:val="none" w:sz="0" w:space="0" w:color="auto"/>
          </w:divBdr>
        </w:div>
        <w:div w:id="542718897">
          <w:marLeft w:val="0"/>
          <w:marRight w:val="0"/>
          <w:marTop w:val="0"/>
          <w:marBottom w:val="0"/>
          <w:divBdr>
            <w:top w:val="none" w:sz="0" w:space="0" w:color="auto"/>
            <w:left w:val="none" w:sz="0" w:space="0" w:color="auto"/>
            <w:bottom w:val="none" w:sz="0" w:space="0" w:color="auto"/>
            <w:right w:val="none" w:sz="0" w:space="0" w:color="auto"/>
          </w:divBdr>
        </w:div>
        <w:div w:id="255554850">
          <w:marLeft w:val="0"/>
          <w:marRight w:val="0"/>
          <w:marTop w:val="0"/>
          <w:marBottom w:val="0"/>
          <w:divBdr>
            <w:top w:val="none" w:sz="0" w:space="0" w:color="auto"/>
            <w:left w:val="none" w:sz="0" w:space="0" w:color="auto"/>
            <w:bottom w:val="none" w:sz="0" w:space="0" w:color="auto"/>
            <w:right w:val="none" w:sz="0" w:space="0" w:color="auto"/>
          </w:divBdr>
        </w:div>
        <w:div w:id="1454715305">
          <w:marLeft w:val="0"/>
          <w:marRight w:val="0"/>
          <w:marTop w:val="0"/>
          <w:marBottom w:val="0"/>
          <w:divBdr>
            <w:top w:val="none" w:sz="0" w:space="0" w:color="auto"/>
            <w:left w:val="none" w:sz="0" w:space="0" w:color="auto"/>
            <w:bottom w:val="none" w:sz="0" w:space="0" w:color="auto"/>
            <w:right w:val="none" w:sz="0" w:space="0" w:color="auto"/>
          </w:divBdr>
        </w:div>
        <w:div w:id="829367624">
          <w:marLeft w:val="0"/>
          <w:marRight w:val="0"/>
          <w:marTop w:val="0"/>
          <w:marBottom w:val="0"/>
          <w:divBdr>
            <w:top w:val="none" w:sz="0" w:space="0" w:color="auto"/>
            <w:left w:val="none" w:sz="0" w:space="0" w:color="auto"/>
            <w:bottom w:val="none" w:sz="0" w:space="0" w:color="auto"/>
            <w:right w:val="none" w:sz="0" w:space="0" w:color="auto"/>
          </w:divBdr>
        </w:div>
        <w:div w:id="1609308499">
          <w:marLeft w:val="0"/>
          <w:marRight w:val="0"/>
          <w:marTop w:val="0"/>
          <w:marBottom w:val="0"/>
          <w:divBdr>
            <w:top w:val="none" w:sz="0" w:space="0" w:color="auto"/>
            <w:left w:val="none" w:sz="0" w:space="0" w:color="auto"/>
            <w:bottom w:val="none" w:sz="0" w:space="0" w:color="auto"/>
            <w:right w:val="none" w:sz="0" w:space="0" w:color="auto"/>
          </w:divBdr>
        </w:div>
        <w:div w:id="288359796">
          <w:marLeft w:val="0"/>
          <w:marRight w:val="0"/>
          <w:marTop w:val="0"/>
          <w:marBottom w:val="0"/>
          <w:divBdr>
            <w:top w:val="none" w:sz="0" w:space="0" w:color="auto"/>
            <w:left w:val="none" w:sz="0" w:space="0" w:color="auto"/>
            <w:bottom w:val="none" w:sz="0" w:space="0" w:color="auto"/>
            <w:right w:val="none" w:sz="0" w:space="0" w:color="auto"/>
          </w:divBdr>
        </w:div>
        <w:div w:id="942148038">
          <w:marLeft w:val="0"/>
          <w:marRight w:val="0"/>
          <w:marTop w:val="0"/>
          <w:marBottom w:val="0"/>
          <w:divBdr>
            <w:top w:val="none" w:sz="0" w:space="0" w:color="auto"/>
            <w:left w:val="none" w:sz="0" w:space="0" w:color="auto"/>
            <w:bottom w:val="none" w:sz="0" w:space="0" w:color="auto"/>
            <w:right w:val="none" w:sz="0" w:space="0" w:color="auto"/>
          </w:divBdr>
        </w:div>
        <w:div w:id="1858734522">
          <w:marLeft w:val="0"/>
          <w:marRight w:val="0"/>
          <w:marTop w:val="0"/>
          <w:marBottom w:val="0"/>
          <w:divBdr>
            <w:top w:val="none" w:sz="0" w:space="0" w:color="auto"/>
            <w:left w:val="none" w:sz="0" w:space="0" w:color="auto"/>
            <w:bottom w:val="none" w:sz="0" w:space="0" w:color="auto"/>
            <w:right w:val="none" w:sz="0" w:space="0" w:color="auto"/>
          </w:divBdr>
        </w:div>
        <w:div w:id="934247609">
          <w:marLeft w:val="0"/>
          <w:marRight w:val="0"/>
          <w:marTop w:val="0"/>
          <w:marBottom w:val="0"/>
          <w:divBdr>
            <w:top w:val="none" w:sz="0" w:space="0" w:color="auto"/>
            <w:left w:val="none" w:sz="0" w:space="0" w:color="auto"/>
            <w:bottom w:val="none" w:sz="0" w:space="0" w:color="auto"/>
            <w:right w:val="none" w:sz="0" w:space="0" w:color="auto"/>
          </w:divBdr>
        </w:div>
        <w:div w:id="1174758393">
          <w:marLeft w:val="0"/>
          <w:marRight w:val="0"/>
          <w:marTop w:val="0"/>
          <w:marBottom w:val="0"/>
          <w:divBdr>
            <w:top w:val="none" w:sz="0" w:space="0" w:color="auto"/>
            <w:left w:val="none" w:sz="0" w:space="0" w:color="auto"/>
            <w:bottom w:val="none" w:sz="0" w:space="0" w:color="auto"/>
            <w:right w:val="none" w:sz="0" w:space="0" w:color="auto"/>
          </w:divBdr>
          <w:divsChild>
            <w:div w:id="757025118">
              <w:marLeft w:val="-75"/>
              <w:marRight w:val="0"/>
              <w:marTop w:val="30"/>
              <w:marBottom w:val="30"/>
              <w:divBdr>
                <w:top w:val="none" w:sz="0" w:space="0" w:color="auto"/>
                <w:left w:val="none" w:sz="0" w:space="0" w:color="auto"/>
                <w:bottom w:val="none" w:sz="0" w:space="0" w:color="auto"/>
                <w:right w:val="none" w:sz="0" w:space="0" w:color="auto"/>
              </w:divBdr>
              <w:divsChild>
                <w:div w:id="924998646">
                  <w:marLeft w:val="0"/>
                  <w:marRight w:val="0"/>
                  <w:marTop w:val="0"/>
                  <w:marBottom w:val="0"/>
                  <w:divBdr>
                    <w:top w:val="none" w:sz="0" w:space="0" w:color="auto"/>
                    <w:left w:val="none" w:sz="0" w:space="0" w:color="auto"/>
                    <w:bottom w:val="none" w:sz="0" w:space="0" w:color="auto"/>
                    <w:right w:val="none" w:sz="0" w:space="0" w:color="auto"/>
                  </w:divBdr>
                  <w:divsChild>
                    <w:div w:id="1972902255">
                      <w:marLeft w:val="0"/>
                      <w:marRight w:val="0"/>
                      <w:marTop w:val="0"/>
                      <w:marBottom w:val="0"/>
                      <w:divBdr>
                        <w:top w:val="none" w:sz="0" w:space="0" w:color="auto"/>
                        <w:left w:val="none" w:sz="0" w:space="0" w:color="auto"/>
                        <w:bottom w:val="none" w:sz="0" w:space="0" w:color="auto"/>
                        <w:right w:val="none" w:sz="0" w:space="0" w:color="auto"/>
                      </w:divBdr>
                    </w:div>
                  </w:divsChild>
                </w:div>
                <w:div w:id="1391415236">
                  <w:marLeft w:val="0"/>
                  <w:marRight w:val="0"/>
                  <w:marTop w:val="0"/>
                  <w:marBottom w:val="0"/>
                  <w:divBdr>
                    <w:top w:val="none" w:sz="0" w:space="0" w:color="auto"/>
                    <w:left w:val="none" w:sz="0" w:space="0" w:color="auto"/>
                    <w:bottom w:val="none" w:sz="0" w:space="0" w:color="auto"/>
                    <w:right w:val="none" w:sz="0" w:space="0" w:color="auto"/>
                  </w:divBdr>
                  <w:divsChild>
                    <w:div w:id="223873851">
                      <w:marLeft w:val="0"/>
                      <w:marRight w:val="0"/>
                      <w:marTop w:val="0"/>
                      <w:marBottom w:val="0"/>
                      <w:divBdr>
                        <w:top w:val="none" w:sz="0" w:space="0" w:color="auto"/>
                        <w:left w:val="none" w:sz="0" w:space="0" w:color="auto"/>
                        <w:bottom w:val="none" w:sz="0" w:space="0" w:color="auto"/>
                        <w:right w:val="none" w:sz="0" w:space="0" w:color="auto"/>
                      </w:divBdr>
                    </w:div>
                  </w:divsChild>
                </w:div>
                <w:div w:id="193464351">
                  <w:marLeft w:val="0"/>
                  <w:marRight w:val="0"/>
                  <w:marTop w:val="0"/>
                  <w:marBottom w:val="0"/>
                  <w:divBdr>
                    <w:top w:val="none" w:sz="0" w:space="0" w:color="auto"/>
                    <w:left w:val="none" w:sz="0" w:space="0" w:color="auto"/>
                    <w:bottom w:val="none" w:sz="0" w:space="0" w:color="auto"/>
                    <w:right w:val="none" w:sz="0" w:space="0" w:color="auto"/>
                  </w:divBdr>
                  <w:divsChild>
                    <w:div w:id="1053575250">
                      <w:marLeft w:val="0"/>
                      <w:marRight w:val="0"/>
                      <w:marTop w:val="0"/>
                      <w:marBottom w:val="0"/>
                      <w:divBdr>
                        <w:top w:val="none" w:sz="0" w:space="0" w:color="auto"/>
                        <w:left w:val="none" w:sz="0" w:space="0" w:color="auto"/>
                        <w:bottom w:val="none" w:sz="0" w:space="0" w:color="auto"/>
                        <w:right w:val="none" w:sz="0" w:space="0" w:color="auto"/>
                      </w:divBdr>
                    </w:div>
                  </w:divsChild>
                </w:div>
                <w:div w:id="273443012">
                  <w:marLeft w:val="0"/>
                  <w:marRight w:val="0"/>
                  <w:marTop w:val="0"/>
                  <w:marBottom w:val="0"/>
                  <w:divBdr>
                    <w:top w:val="none" w:sz="0" w:space="0" w:color="auto"/>
                    <w:left w:val="none" w:sz="0" w:space="0" w:color="auto"/>
                    <w:bottom w:val="none" w:sz="0" w:space="0" w:color="auto"/>
                    <w:right w:val="none" w:sz="0" w:space="0" w:color="auto"/>
                  </w:divBdr>
                  <w:divsChild>
                    <w:div w:id="516426880">
                      <w:marLeft w:val="0"/>
                      <w:marRight w:val="0"/>
                      <w:marTop w:val="0"/>
                      <w:marBottom w:val="0"/>
                      <w:divBdr>
                        <w:top w:val="none" w:sz="0" w:space="0" w:color="auto"/>
                        <w:left w:val="none" w:sz="0" w:space="0" w:color="auto"/>
                        <w:bottom w:val="none" w:sz="0" w:space="0" w:color="auto"/>
                        <w:right w:val="none" w:sz="0" w:space="0" w:color="auto"/>
                      </w:divBdr>
                    </w:div>
                  </w:divsChild>
                </w:div>
                <w:div w:id="1406027549">
                  <w:marLeft w:val="0"/>
                  <w:marRight w:val="0"/>
                  <w:marTop w:val="0"/>
                  <w:marBottom w:val="0"/>
                  <w:divBdr>
                    <w:top w:val="none" w:sz="0" w:space="0" w:color="auto"/>
                    <w:left w:val="none" w:sz="0" w:space="0" w:color="auto"/>
                    <w:bottom w:val="none" w:sz="0" w:space="0" w:color="auto"/>
                    <w:right w:val="none" w:sz="0" w:space="0" w:color="auto"/>
                  </w:divBdr>
                  <w:divsChild>
                    <w:div w:id="1484008286">
                      <w:marLeft w:val="0"/>
                      <w:marRight w:val="0"/>
                      <w:marTop w:val="0"/>
                      <w:marBottom w:val="0"/>
                      <w:divBdr>
                        <w:top w:val="none" w:sz="0" w:space="0" w:color="auto"/>
                        <w:left w:val="none" w:sz="0" w:space="0" w:color="auto"/>
                        <w:bottom w:val="none" w:sz="0" w:space="0" w:color="auto"/>
                        <w:right w:val="none" w:sz="0" w:space="0" w:color="auto"/>
                      </w:divBdr>
                    </w:div>
                  </w:divsChild>
                </w:div>
                <w:div w:id="1670138858">
                  <w:marLeft w:val="0"/>
                  <w:marRight w:val="0"/>
                  <w:marTop w:val="0"/>
                  <w:marBottom w:val="0"/>
                  <w:divBdr>
                    <w:top w:val="none" w:sz="0" w:space="0" w:color="auto"/>
                    <w:left w:val="none" w:sz="0" w:space="0" w:color="auto"/>
                    <w:bottom w:val="none" w:sz="0" w:space="0" w:color="auto"/>
                    <w:right w:val="none" w:sz="0" w:space="0" w:color="auto"/>
                  </w:divBdr>
                  <w:divsChild>
                    <w:div w:id="1242636656">
                      <w:marLeft w:val="0"/>
                      <w:marRight w:val="0"/>
                      <w:marTop w:val="0"/>
                      <w:marBottom w:val="0"/>
                      <w:divBdr>
                        <w:top w:val="none" w:sz="0" w:space="0" w:color="auto"/>
                        <w:left w:val="none" w:sz="0" w:space="0" w:color="auto"/>
                        <w:bottom w:val="none" w:sz="0" w:space="0" w:color="auto"/>
                        <w:right w:val="none" w:sz="0" w:space="0" w:color="auto"/>
                      </w:divBdr>
                    </w:div>
                  </w:divsChild>
                </w:div>
                <w:div w:id="1501197300">
                  <w:marLeft w:val="0"/>
                  <w:marRight w:val="0"/>
                  <w:marTop w:val="0"/>
                  <w:marBottom w:val="0"/>
                  <w:divBdr>
                    <w:top w:val="none" w:sz="0" w:space="0" w:color="auto"/>
                    <w:left w:val="none" w:sz="0" w:space="0" w:color="auto"/>
                    <w:bottom w:val="none" w:sz="0" w:space="0" w:color="auto"/>
                    <w:right w:val="none" w:sz="0" w:space="0" w:color="auto"/>
                  </w:divBdr>
                  <w:divsChild>
                    <w:div w:id="1659455245">
                      <w:marLeft w:val="0"/>
                      <w:marRight w:val="0"/>
                      <w:marTop w:val="0"/>
                      <w:marBottom w:val="0"/>
                      <w:divBdr>
                        <w:top w:val="none" w:sz="0" w:space="0" w:color="auto"/>
                        <w:left w:val="none" w:sz="0" w:space="0" w:color="auto"/>
                        <w:bottom w:val="none" w:sz="0" w:space="0" w:color="auto"/>
                        <w:right w:val="none" w:sz="0" w:space="0" w:color="auto"/>
                      </w:divBdr>
                    </w:div>
                  </w:divsChild>
                </w:div>
                <w:div w:id="897859402">
                  <w:marLeft w:val="0"/>
                  <w:marRight w:val="0"/>
                  <w:marTop w:val="0"/>
                  <w:marBottom w:val="0"/>
                  <w:divBdr>
                    <w:top w:val="none" w:sz="0" w:space="0" w:color="auto"/>
                    <w:left w:val="none" w:sz="0" w:space="0" w:color="auto"/>
                    <w:bottom w:val="none" w:sz="0" w:space="0" w:color="auto"/>
                    <w:right w:val="none" w:sz="0" w:space="0" w:color="auto"/>
                  </w:divBdr>
                  <w:divsChild>
                    <w:div w:id="261305693">
                      <w:marLeft w:val="0"/>
                      <w:marRight w:val="0"/>
                      <w:marTop w:val="0"/>
                      <w:marBottom w:val="0"/>
                      <w:divBdr>
                        <w:top w:val="none" w:sz="0" w:space="0" w:color="auto"/>
                        <w:left w:val="none" w:sz="0" w:space="0" w:color="auto"/>
                        <w:bottom w:val="none" w:sz="0" w:space="0" w:color="auto"/>
                        <w:right w:val="none" w:sz="0" w:space="0" w:color="auto"/>
                      </w:divBdr>
                    </w:div>
                  </w:divsChild>
                </w:div>
                <w:div w:id="497695487">
                  <w:marLeft w:val="0"/>
                  <w:marRight w:val="0"/>
                  <w:marTop w:val="0"/>
                  <w:marBottom w:val="0"/>
                  <w:divBdr>
                    <w:top w:val="none" w:sz="0" w:space="0" w:color="auto"/>
                    <w:left w:val="none" w:sz="0" w:space="0" w:color="auto"/>
                    <w:bottom w:val="none" w:sz="0" w:space="0" w:color="auto"/>
                    <w:right w:val="none" w:sz="0" w:space="0" w:color="auto"/>
                  </w:divBdr>
                  <w:divsChild>
                    <w:div w:id="413940431">
                      <w:marLeft w:val="0"/>
                      <w:marRight w:val="0"/>
                      <w:marTop w:val="0"/>
                      <w:marBottom w:val="0"/>
                      <w:divBdr>
                        <w:top w:val="none" w:sz="0" w:space="0" w:color="auto"/>
                        <w:left w:val="none" w:sz="0" w:space="0" w:color="auto"/>
                        <w:bottom w:val="none" w:sz="0" w:space="0" w:color="auto"/>
                        <w:right w:val="none" w:sz="0" w:space="0" w:color="auto"/>
                      </w:divBdr>
                    </w:div>
                  </w:divsChild>
                </w:div>
                <w:div w:id="1181701495">
                  <w:marLeft w:val="0"/>
                  <w:marRight w:val="0"/>
                  <w:marTop w:val="0"/>
                  <w:marBottom w:val="0"/>
                  <w:divBdr>
                    <w:top w:val="none" w:sz="0" w:space="0" w:color="auto"/>
                    <w:left w:val="none" w:sz="0" w:space="0" w:color="auto"/>
                    <w:bottom w:val="none" w:sz="0" w:space="0" w:color="auto"/>
                    <w:right w:val="none" w:sz="0" w:space="0" w:color="auto"/>
                  </w:divBdr>
                  <w:divsChild>
                    <w:div w:id="1781803133">
                      <w:marLeft w:val="0"/>
                      <w:marRight w:val="0"/>
                      <w:marTop w:val="0"/>
                      <w:marBottom w:val="0"/>
                      <w:divBdr>
                        <w:top w:val="none" w:sz="0" w:space="0" w:color="auto"/>
                        <w:left w:val="none" w:sz="0" w:space="0" w:color="auto"/>
                        <w:bottom w:val="none" w:sz="0" w:space="0" w:color="auto"/>
                        <w:right w:val="none" w:sz="0" w:space="0" w:color="auto"/>
                      </w:divBdr>
                    </w:div>
                  </w:divsChild>
                </w:div>
                <w:div w:id="218827425">
                  <w:marLeft w:val="0"/>
                  <w:marRight w:val="0"/>
                  <w:marTop w:val="0"/>
                  <w:marBottom w:val="0"/>
                  <w:divBdr>
                    <w:top w:val="none" w:sz="0" w:space="0" w:color="auto"/>
                    <w:left w:val="none" w:sz="0" w:space="0" w:color="auto"/>
                    <w:bottom w:val="none" w:sz="0" w:space="0" w:color="auto"/>
                    <w:right w:val="none" w:sz="0" w:space="0" w:color="auto"/>
                  </w:divBdr>
                  <w:divsChild>
                    <w:div w:id="1165050681">
                      <w:marLeft w:val="0"/>
                      <w:marRight w:val="0"/>
                      <w:marTop w:val="0"/>
                      <w:marBottom w:val="0"/>
                      <w:divBdr>
                        <w:top w:val="none" w:sz="0" w:space="0" w:color="auto"/>
                        <w:left w:val="none" w:sz="0" w:space="0" w:color="auto"/>
                        <w:bottom w:val="none" w:sz="0" w:space="0" w:color="auto"/>
                        <w:right w:val="none" w:sz="0" w:space="0" w:color="auto"/>
                      </w:divBdr>
                    </w:div>
                  </w:divsChild>
                </w:div>
                <w:div w:id="834802118">
                  <w:marLeft w:val="0"/>
                  <w:marRight w:val="0"/>
                  <w:marTop w:val="0"/>
                  <w:marBottom w:val="0"/>
                  <w:divBdr>
                    <w:top w:val="none" w:sz="0" w:space="0" w:color="auto"/>
                    <w:left w:val="none" w:sz="0" w:space="0" w:color="auto"/>
                    <w:bottom w:val="none" w:sz="0" w:space="0" w:color="auto"/>
                    <w:right w:val="none" w:sz="0" w:space="0" w:color="auto"/>
                  </w:divBdr>
                  <w:divsChild>
                    <w:div w:id="1612593437">
                      <w:marLeft w:val="0"/>
                      <w:marRight w:val="0"/>
                      <w:marTop w:val="0"/>
                      <w:marBottom w:val="0"/>
                      <w:divBdr>
                        <w:top w:val="none" w:sz="0" w:space="0" w:color="auto"/>
                        <w:left w:val="none" w:sz="0" w:space="0" w:color="auto"/>
                        <w:bottom w:val="none" w:sz="0" w:space="0" w:color="auto"/>
                        <w:right w:val="none" w:sz="0" w:space="0" w:color="auto"/>
                      </w:divBdr>
                    </w:div>
                  </w:divsChild>
                </w:div>
                <w:div w:id="1314144225">
                  <w:marLeft w:val="0"/>
                  <w:marRight w:val="0"/>
                  <w:marTop w:val="0"/>
                  <w:marBottom w:val="0"/>
                  <w:divBdr>
                    <w:top w:val="none" w:sz="0" w:space="0" w:color="auto"/>
                    <w:left w:val="none" w:sz="0" w:space="0" w:color="auto"/>
                    <w:bottom w:val="none" w:sz="0" w:space="0" w:color="auto"/>
                    <w:right w:val="none" w:sz="0" w:space="0" w:color="auto"/>
                  </w:divBdr>
                  <w:divsChild>
                    <w:div w:id="1498569960">
                      <w:marLeft w:val="0"/>
                      <w:marRight w:val="0"/>
                      <w:marTop w:val="0"/>
                      <w:marBottom w:val="0"/>
                      <w:divBdr>
                        <w:top w:val="none" w:sz="0" w:space="0" w:color="auto"/>
                        <w:left w:val="none" w:sz="0" w:space="0" w:color="auto"/>
                        <w:bottom w:val="none" w:sz="0" w:space="0" w:color="auto"/>
                        <w:right w:val="none" w:sz="0" w:space="0" w:color="auto"/>
                      </w:divBdr>
                    </w:div>
                  </w:divsChild>
                </w:div>
                <w:div w:id="1143816852">
                  <w:marLeft w:val="0"/>
                  <w:marRight w:val="0"/>
                  <w:marTop w:val="0"/>
                  <w:marBottom w:val="0"/>
                  <w:divBdr>
                    <w:top w:val="none" w:sz="0" w:space="0" w:color="auto"/>
                    <w:left w:val="none" w:sz="0" w:space="0" w:color="auto"/>
                    <w:bottom w:val="none" w:sz="0" w:space="0" w:color="auto"/>
                    <w:right w:val="none" w:sz="0" w:space="0" w:color="auto"/>
                  </w:divBdr>
                  <w:divsChild>
                    <w:div w:id="977026217">
                      <w:marLeft w:val="0"/>
                      <w:marRight w:val="0"/>
                      <w:marTop w:val="0"/>
                      <w:marBottom w:val="0"/>
                      <w:divBdr>
                        <w:top w:val="none" w:sz="0" w:space="0" w:color="auto"/>
                        <w:left w:val="none" w:sz="0" w:space="0" w:color="auto"/>
                        <w:bottom w:val="none" w:sz="0" w:space="0" w:color="auto"/>
                        <w:right w:val="none" w:sz="0" w:space="0" w:color="auto"/>
                      </w:divBdr>
                    </w:div>
                  </w:divsChild>
                </w:div>
                <w:div w:id="1984503425">
                  <w:marLeft w:val="0"/>
                  <w:marRight w:val="0"/>
                  <w:marTop w:val="0"/>
                  <w:marBottom w:val="0"/>
                  <w:divBdr>
                    <w:top w:val="none" w:sz="0" w:space="0" w:color="auto"/>
                    <w:left w:val="none" w:sz="0" w:space="0" w:color="auto"/>
                    <w:bottom w:val="none" w:sz="0" w:space="0" w:color="auto"/>
                    <w:right w:val="none" w:sz="0" w:space="0" w:color="auto"/>
                  </w:divBdr>
                  <w:divsChild>
                    <w:div w:id="1211651138">
                      <w:marLeft w:val="0"/>
                      <w:marRight w:val="0"/>
                      <w:marTop w:val="0"/>
                      <w:marBottom w:val="0"/>
                      <w:divBdr>
                        <w:top w:val="none" w:sz="0" w:space="0" w:color="auto"/>
                        <w:left w:val="none" w:sz="0" w:space="0" w:color="auto"/>
                        <w:bottom w:val="none" w:sz="0" w:space="0" w:color="auto"/>
                        <w:right w:val="none" w:sz="0" w:space="0" w:color="auto"/>
                      </w:divBdr>
                    </w:div>
                  </w:divsChild>
                </w:div>
                <w:div w:id="598827893">
                  <w:marLeft w:val="0"/>
                  <w:marRight w:val="0"/>
                  <w:marTop w:val="0"/>
                  <w:marBottom w:val="0"/>
                  <w:divBdr>
                    <w:top w:val="none" w:sz="0" w:space="0" w:color="auto"/>
                    <w:left w:val="none" w:sz="0" w:space="0" w:color="auto"/>
                    <w:bottom w:val="none" w:sz="0" w:space="0" w:color="auto"/>
                    <w:right w:val="none" w:sz="0" w:space="0" w:color="auto"/>
                  </w:divBdr>
                  <w:divsChild>
                    <w:div w:id="992874368">
                      <w:marLeft w:val="0"/>
                      <w:marRight w:val="0"/>
                      <w:marTop w:val="0"/>
                      <w:marBottom w:val="0"/>
                      <w:divBdr>
                        <w:top w:val="none" w:sz="0" w:space="0" w:color="auto"/>
                        <w:left w:val="none" w:sz="0" w:space="0" w:color="auto"/>
                        <w:bottom w:val="none" w:sz="0" w:space="0" w:color="auto"/>
                        <w:right w:val="none" w:sz="0" w:space="0" w:color="auto"/>
                      </w:divBdr>
                    </w:div>
                  </w:divsChild>
                </w:div>
                <w:div w:id="1423406988">
                  <w:marLeft w:val="0"/>
                  <w:marRight w:val="0"/>
                  <w:marTop w:val="0"/>
                  <w:marBottom w:val="0"/>
                  <w:divBdr>
                    <w:top w:val="none" w:sz="0" w:space="0" w:color="auto"/>
                    <w:left w:val="none" w:sz="0" w:space="0" w:color="auto"/>
                    <w:bottom w:val="none" w:sz="0" w:space="0" w:color="auto"/>
                    <w:right w:val="none" w:sz="0" w:space="0" w:color="auto"/>
                  </w:divBdr>
                  <w:divsChild>
                    <w:div w:id="829977854">
                      <w:marLeft w:val="0"/>
                      <w:marRight w:val="0"/>
                      <w:marTop w:val="0"/>
                      <w:marBottom w:val="0"/>
                      <w:divBdr>
                        <w:top w:val="none" w:sz="0" w:space="0" w:color="auto"/>
                        <w:left w:val="none" w:sz="0" w:space="0" w:color="auto"/>
                        <w:bottom w:val="none" w:sz="0" w:space="0" w:color="auto"/>
                        <w:right w:val="none" w:sz="0" w:space="0" w:color="auto"/>
                      </w:divBdr>
                    </w:div>
                  </w:divsChild>
                </w:div>
                <w:div w:id="1718704593">
                  <w:marLeft w:val="0"/>
                  <w:marRight w:val="0"/>
                  <w:marTop w:val="0"/>
                  <w:marBottom w:val="0"/>
                  <w:divBdr>
                    <w:top w:val="none" w:sz="0" w:space="0" w:color="auto"/>
                    <w:left w:val="none" w:sz="0" w:space="0" w:color="auto"/>
                    <w:bottom w:val="none" w:sz="0" w:space="0" w:color="auto"/>
                    <w:right w:val="none" w:sz="0" w:space="0" w:color="auto"/>
                  </w:divBdr>
                  <w:divsChild>
                    <w:div w:id="1872496987">
                      <w:marLeft w:val="0"/>
                      <w:marRight w:val="0"/>
                      <w:marTop w:val="0"/>
                      <w:marBottom w:val="0"/>
                      <w:divBdr>
                        <w:top w:val="none" w:sz="0" w:space="0" w:color="auto"/>
                        <w:left w:val="none" w:sz="0" w:space="0" w:color="auto"/>
                        <w:bottom w:val="none" w:sz="0" w:space="0" w:color="auto"/>
                        <w:right w:val="none" w:sz="0" w:space="0" w:color="auto"/>
                      </w:divBdr>
                    </w:div>
                  </w:divsChild>
                </w:div>
                <w:div w:id="841311906">
                  <w:marLeft w:val="0"/>
                  <w:marRight w:val="0"/>
                  <w:marTop w:val="0"/>
                  <w:marBottom w:val="0"/>
                  <w:divBdr>
                    <w:top w:val="none" w:sz="0" w:space="0" w:color="auto"/>
                    <w:left w:val="none" w:sz="0" w:space="0" w:color="auto"/>
                    <w:bottom w:val="none" w:sz="0" w:space="0" w:color="auto"/>
                    <w:right w:val="none" w:sz="0" w:space="0" w:color="auto"/>
                  </w:divBdr>
                  <w:divsChild>
                    <w:div w:id="1258709811">
                      <w:marLeft w:val="0"/>
                      <w:marRight w:val="0"/>
                      <w:marTop w:val="0"/>
                      <w:marBottom w:val="0"/>
                      <w:divBdr>
                        <w:top w:val="none" w:sz="0" w:space="0" w:color="auto"/>
                        <w:left w:val="none" w:sz="0" w:space="0" w:color="auto"/>
                        <w:bottom w:val="none" w:sz="0" w:space="0" w:color="auto"/>
                        <w:right w:val="none" w:sz="0" w:space="0" w:color="auto"/>
                      </w:divBdr>
                    </w:div>
                  </w:divsChild>
                </w:div>
                <w:div w:id="647172659">
                  <w:marLeft w:val="0"/>
                  <w:marRight w:val="0"/>
                  <w:marTop w:val="0"/>
                  <w:marBottom w:val="0"/>
                  <w:divBdr>
                    <w:top w:val="none" w:sz="0" w:space="0" w:color="auto"/>
                    <w:left w:val="none" w:sz="0" w:space="0" w:color="auto"/>
                    <w:bottom w:val="none" w:sz="0" w:space="0" w:color="auto"/>
                    <w:right w:val="none" w:sz="0" w:space="0" w:color="auto"/>
                  </w:divBdr>
                  <w:divsChild>
                    <w:div w:id="129827150">
                      <w:marLeft w:val="0"/>
                      <w:marRight w:val="0"/>
                      <w:marTop w:val="0"/>
                      <w:marBottom w:val="0"/>
                      <w:divBdr>
                        <w:top w:val="none" w:sz="0" w:space="0" w:color="auto"/>
                        <w:left w:val="none" w:sz="0" w:space="0" w:color="auto"/>
                        <w:bottom w:val="none" w:sz="0" w:space="0" w:color="auto"/>
                        <w:right w:val="none" w:sz="0" w:space="0" w:color="auto"/>
                      </w:divBdr>
                    </w:div>
                  </w:divsChild>
                </w:div>
                <w:div w:id="211232696">
                  <w:marLeft w:val="0"/>
                  <w:marRight w:val="0"/>
                  <w:marTop w:val="0"/>
                  <w:marBottom w:val="0"/>
                  <w:divBdr>
                    <w:top w:val="none" w:sz="0" w:space="0" w:color="auto"/>
                    <w:left w:val="none" w:sz="0" w:space="0" w:color="auto"/>
                    <w:bottom w:val="none" w:sz="0" w:space="0" w:color="auto"/>
                    <w:right w:val="none" w:sz="0" w:space="0" w:color="auto"/>
                  </w:divBdr>
                  <w:divsChild>
                    <w:div w:id="884637472">
                      <w:marLeft w:val="0"/>
                      <w:marRight w:val="0"/>
                      <w:marTop w:val="0"/>
                      <w:marBottom w:val="0"/>
                      <w:divBdr>
                        <w:top w:val="none" w:sz="0" w:space="0" w:color="auto"/>
                        <w:left w:val="none" w:sz="0" w:space="0" w:color="auto"/>
                        <w:bottom w:val="none" w:sz="0" w:space="0" w:color="auto"/>
                        <w:right w:val="none" w:sz="0" w:space="0" w:color="auto"/>
                      </w:divBdr>
                    </w:div>
                  </w:divsChild>
                </w:div>
                <w:div w:id="1092899482">
                  <w:marLeft w:val="0"/>
                  <w:marRight w:val="0"/>
                  <w:marTop w:val="0"/>
                  <w:marBottom w:val="0"/>
                  <w:divBdr>
                    <w:top w:val="none" w:sz="0" w:space="0" w:color="auto"/>
                    <w:left w:val="none" w:sz="0" w:space="0" w:color="auto"/>
                    <w:bottom w:val="none" w:sz="0" w:space="0" w:color="auto"/>
                    <w:right w:val="none" w:sz="0" w:space="0" w:color="auto"/>
                  </w:divBdr>
                  <w:divsChild>
                    <w:div w:id="1569802217">
                      <w:marLeft w:val="0"/>
                      <w:marRight w:val="0"/>
                      <w:marTop w:val="0"/>
                      <w:marBottom w:val="0"/>
                      <w:divBdr>
                        <w:top w:val="none" w:sz="0" w:space="0" w:color="auto"/>
                        <w:left w:val="none" w:sz="0" w:space="0" w:color="auto"/>
                        <w:bottom w:val="none" w:sz="0" w:space="0" w:color="auto"/>
                        <w:right w:val="none" w:sz="0" w:space="0" w:color="auto"/>
                      </w:divBdr>
                    </w:div>
                  </w:divsChild>
                </w:div>
                <w:div w:id="924612131">
                  <w:marLeft w:val="0"/>
                  <w:marRight w:val="0"/>
                  <w:marTop w:val="0"/>
                  <w:marBottom w:val="0"/>
                  <w:divBdr>
                    <w:top w:val="none" w:sz="0" w:space="0" w:color="auto"/>
                    <w:left w:val="none" w:sz="0" w:space="0" w:color="auto"/>
                    <w:bottom w:val="none" w:sz="0" w:space="0" w:color="auto"/>
                    <w:right w:val="none" w:sz="0" w:space="0" w:color="auto"/>
                  </w:divBdr>
                  <w:divsChild>
                    <w:div w:id="2026978663">
                      <w:marLeft w:val="0"/>
                      <w:marRight w:val="0"/>
                      <w:marTop w:val="0"/>
                      <w:marBottom w:val="0"/>
                      <w:divBdr>
                        <w:top w:val="none" w:sz="0" w:space="0" w:color="auto"/>
                        <w:left w:val="none" w:sz="0" w:space="0" w:color="auto"/>
                        <w:bottom w:val="none" w:sz="0" w:space="0" w:color="auto"/>
                        <w:right w:val="none" w:sz="0" w:space="0" w:color="auto"/>
                      </w:divBdr>
                    </w:div>
                  </w:divsChild>
                </w:div>
                <w:div w:id="326248869">
                  <w:marLeft w:val="0"/>
                  <w:marRight w:val="0"/>
                  <w:marTop w:val="0"/>
                  <w:marBottom w:val="0"/>
                  <w:divBdr>
                    <w:top w:val="none" w:sz="0" w:space="0" w:color="auto"/>
                    <w:left w:val="none" w:sz="0" w:space="0" w:color="auto"/>
                    <w:bottom w:val="none" w:sz="0" w:space="0" w:color="auto"/>
                    <w:right w:val="none" w:sz="0" w:space="0" w:color="auto"/>
                  </w:divBdr>
                  <w:divsChild>
                    <w:div w:id="1044673081">
                      <w:marLeft w:val="0"/>
                      <w:marRight w:val="0"/>
                      <w:marTop w:val="0"/>
                      <w:marBottom w:val="0"/>
                      <w:divBdr>
                        <w:top w:val="none" w:sz="0" w:space="0" w:color="auto"/>
                        <w:left w:val="none" w:sz="0" w:space="0" w:color="auto"/>
                        <w:bottom w:val="none" w:sz="0" w:space="0" w:color="auto"/>
                        <w:right w:val="none" w:sz="0" w:space="0" w:color="auto"/>
                      </w:divBdr>
                    </w:div>
                  </w:divsChild>
                </w:div>
                <w:div w:id="1303345117">
                  <w:marLeft w:val="0"/>
                  <w:marRight w:val="0"/>
                  <w:marTop w:val="0"/>
                  <w:marBottom w:val="0"/>
                  <w:divBdr>
                    <w:top w:val="none" w:sz="0" w:space="0" w:color="auto"/>
                    <w:left w:val="none" w:sz="0" w:space="0" w:color="auto"/>
                    <w:bottom w:val="none" w:sz="0" w:space="0" w:color="auto"/>
                    <w:right w:val="none" w:sz="0" w:space="0" w:color="auto"/>
                  </w:divBdr>
                  <w:divsChild>
                    <w:div w:id="703286443">
                      <w:marLeft w:val="0"/>
                      <w:marRight w:val="0"/>
                      <w:marTop w:val="0"/>
                      <w:marBottom w:val="0"/>
                      <w:divBdr>
                        <w:top w:val="none" w:sz="0" w:space="0" w:color="auto"/>
                        <w:left w:val="none" w:sz="0" w:space="0" w:color="auto"/>
                        <w:bottom w:val="none" w:sz="0" w:space="0" w:color="auto"/>
                        <w:right w:val="none" w:sz="0" w:space="0" w:color="auto"/>
                      </w:divBdr>
                    </w:div>
                  </w:divsChild>
                </w:div>
                <w:div w:id="1154832513">
                  <w:marLeft w:val="0"/>
                  <w:marRight w:val="0"/>
                  <w:marTop w:val="0"/>
                  <w:marBottom w:val="0"/>
                  <w:divBdr>
                    <w:top w:val="none" w:sz="0" w:space="0" w:color="auto"/>
                    <w:left w:val="none" w:sz="0" w:space="0" w:color="auto"/>
                    <w:bottom w:val="none" w:sz="0" w:space="0" w:color="auto"/>
                    <w:right w:val="none" w:sz="0" w:space="0" w:color="auto"/>
                  </w:divBdr>
                  <w:divsChild>
                    <w:div w:id="145443313">
                      <w:marLeft w:val="0"/>
                      <w:marRight w:val="0"/>
                      <w:marTop w:val="0"/>
                      <w:marBottom w:val="0"/>
                      <w:divBdr>
                        <w:top w:val="none" w:sz="0" w:space="0" w:color="auto"/>
                        <w:left w:val="none" w:sz="0" w:space="0" w:color="auto"/>
                        <w:bottom w:val="none" w:sz="0" w:space="0" w:color="auto"/>
                        <w:right w:val="none" w:sz="0" w:space="0" w:color="auto"/>
                      </w:divBdr>
                    </w:div>
                  </w:divsChild>
                </w:div>
                <w:div w:id="1461218073">
                  <w:marLeft w:val="0"/>
                  <w:marRight w:val="0"/>
                  <w:marTop w:val="0"/>
                  <w:marBottom w:val="0"/>
                  <w:divBdr>
                    <w:top w:val="none" w:sz="0" w:space="0" w:color="auto"/>
                    <w:left w:val="none" w:sz="0" w:space="0" w:color="auto"/>
                    <w:bottom w:val="none" w:sz="0" w:space="0" w:color="auto"/>
                    <w:right w:val="none" w:sz="0" w:space="0" w:color="auto"/>
                  </w:divBdr>
                  <w:divsChild>
                    <w:div w:id="1786735249">
                      <w:marLeft w:val="0"/>
                      <w:marRight w:val="0"/>
                      <w:marTop w:val="0"/>
                      <w:marBottom w:val="0"/>
                      <w:divBdr>
                        <w:top w:val="none" w:sz="0" w:space="0" w:color="auto"/>
                        <w:left w:val="none" w:sz="0" w:space="0" w:color="auto"/>
                        <w:bottom w:val="none" w:sz="0" w:space="0" w:color="auto"/>
                        <w:right w:val="none" w:sz="0" w:space="0" w:color="auto"/>
                      </w:divBdr>
                    </w:div>
                  </w:divsChild>
                </w:div>
                <w:div w:id="159466201">
                  <w:marLeft w:val="0"/>
                  <w:marRight w:val="0"/>
                  <w:marTop w:val="0"/>
                  <w:marBottom w:val="0"/>
                  <w:divBdr>
                    <w:top w:val="none" w:sz="0" w:space="0" w:color="auto"/>
                    <w:left w:val="none" w:sz="0" w:space="0" w:color="auto"/>
                    <w:bottom w:val="none" w:sz="0" w:space="0" w:color="auto"/>
                    <w:right w:val="none" w:sz="0" w:space="0" w:color="auto"/>
                  </w:divBdr>
                  <w:divsChild>
                    <w:div w:id="1006516642">
                      <w:marLeft w:val="0"/>
                      <w:marRight w:val="0"/>
                      <w:marTop w:val="0"/>
                      <w:marBottom w:val="0"/>
                      <w:divBdr>
                        <w:top w:val="none" w:sz="0" w:space="0" w:color="auto"/>
                        <w:left w:val="none" w:sz="0" w:space="0" w:color="auto"/>
                        <w:bottom w:val="none" w:sz="0" w:space="0" w:color="auto"/>
                        <w:right w:val="none" w:sz="0" w:space="0" w:color="auto"/>
                      </w:divBdr>
                    </w:div>
                  </w:divsChild>
                </w:div>
                <w:div w:id="265815676">
                  <w:marLeft w:val="0"/>
                  <w:marRight w:val="0"/>
                  <w:marTop w:val="0"/>
                  <w:marBottom w:val="0"/>
                  <w:divBdr>
                    <w:top w:val="none" w:sz="0" w:space="0" w:color="auto"/>
                    <w:left w:val="none" w:sz="0" w:space="0" w:color="auto"/>
                    <w:bottom w:val="none" w:sz="0" w:space="0" w:color="auto"/>
                    <w:right w:val="none" w:sz="0" w:space="0" w:color="auto"/>
                  </w:divBdr>
                  <w:divsChild>
                    <w:div w:id="289367074">
                      <w:marLeft w:val="0"/>
                      <w:marRight w:val="0"/>
                      <w:marTop w:val="0"/>
                      <w:marBottom w:val="0"/>
                      <w:divBdr>
                        <w:top w:val="none" w:sz="0" w:space="0" w:color="auto"/>
                        <w:left w:val="none" w:sz="0" w:space="0" w:color="auto"/>
                        <w:bottom w:val="none" w:sz="0" w:space="0" w:color="auto"/>
                        <w:right w:val="none" w:sz="0" w:space="0" w:color="auto"/>
                      </w:divBdr>
                    </w:div>
                  </w:divsChild>
                </w:div>
                <w:div w:id="996492406">
                  <w:marLeft w:val="0"/>
                  <w:marRight w:val="0"/>
                  <w:marTop w:val="0"/>
                  <w:marBottom w:val="0"/>
                  <w:divBdr>
                    <w:top w:val="none" w:sz="0" w:space="0" w:color="auto"/>
                    <w:left w:val="none" w:sz="0" w:space="0" w:color="auto"/>
                    <w:bottom w:val="none" w:sz="0" w:space="0" w:color="auto"/>
                    <w:right w:val="none" w:sz="0" w:space="0" w:color="auto"/>
                  </w:divBdr>
                  <w:divsChild>
                    <w:div w:id="1381661853">
                      <w:marLeft w:val="0"/>
                      <w:marRight w:val="0"/>
                      <w:marTop w:val="0"/>
                      <w:marBottom w:val="0"/>
                      <w:divBdr>
                        <w:top w:val="none" w:sz="0" w:space="0" w:color="auto"/>
                        <w:left w:val="none" w:sz="0" w:space="0" w:color="auto"/>
                        <w:bottom w:val="none" w:sz="0" w:space="0" w:color="auto"/>
                        <w:right w:val="none" w:sz="0" w:space="0" w:color="auto"/>
                      </w:divBdr>
                    </w:div>
                  </w:divsChild>
                </w:div>
                <w:div w:id="1705059804">
                  <w:marLeft w:val="0"/>
                  <w:marRight w:val="0"/>
                  <w:marTop w:val="0"/>
                  <w:marBottom w:val="0"/>
                  <w:divBdr>
                    <w:top w:val="none" w:sz="0" w:space="0" w:color="auto"/>
                    <w:left w:val="none" w:sz="0" w:space="0" w:color="auto"/>
                    <w:bottom w:val="none" w:sz="0" w:space="0" w:color="auto"/>
                    <w:right w:val="none" w:sz="0" w:space="0" w:color="auto"/>
                  </w:divBdr>
                  <w:divsChild>
                    <w:div w:id="1922833045">
                      <w:marLeft w:val="0"/>
                      <w:marRight w:val="0"/>
                      <w:marTop w:val="0"/>
                      <w:marBottom w:val="0"/>
                      <w:divBdr>
                        <w:top w:val="none" w:sz="0" w:space="0" w:color="auto"/>
                        <w:left w:val="none" w:sz="0" w:space="0" w:color="auto"/>
                        <w:bottom w:val="none" w:sz="0" w:space="0" w:color="auto"/>
                        <w:right w:val="none" w:sz="0" w:space="0" w:color="auto"/>
                      </w:divBdr>
                    </w:div>
                  </w:divsChild>
                </w:div>
                <w:div w:id="473626">
                  <w:marLeft w:val="0"/>
                  <w:marRight w:val="0"/>
                  <w:marTop w:val="0"/>
                  <w:marBottom w:val="0"/>
                  <w:divBdr>
                    <w:top w:val="none" w:sz="0" w:space="0" w:color="auto"/>
                    <w:left w:val="none" w:sz="0" w:space="0" w:color="auto"/>
                    <w:bottom w:val="none" w:sz="0" w:space="0" w:color="auto"/>
                    <w:right w:val="none" w:sz="0" w:space="0" w:color="auto"/>
                  </w:divBdr>
                  <w:divsChild>
                    <w:div w:id="2133791705">
                      <w:marLeft w:val="0"/>
                      <w:marRight w:val="0"/>
                      <w:marTop w:val="0"/>
                      <w:marBottom w:val="0"/>
                      <w:divBdr>
                        <w:top w:val="none" w:sz="0" w:space="0" w:color="auto"/>
                        <w:left w:val="none" w:sz="0" w:space="0" w:color="auto"/>
                        <w:bottom w:val="none" w:sz="0" w:space="0" w:color="auto"/>
                        <w:right w:val="none" w:sz="0" w:space="0" w:color="auto"/>
                      </w:divBdr>
                    </w:div>
                  </w:divsChild>
                </w:div>
                <w:div w:id="1895005564">
                  <w:marLeft w:val="0"/>
                  <w:marRight w:val="0"/>
                  <w:marTop w:val="0"/>
                  <w:marBottom w:val="0"/>
                  <w:divBdr>
                    <w:top w:val="none" w:sz="0" w:space="0" w:color="auto"/>
                    <w:left w:val="none" w:sz="0" w:space="0" w:color="auto"/>
                    <w:bottom w:val="none" w:sz="0" w:space="0" w:color="auto"/>
                    <w:right w:val="none" w:sz="0" w:space="0" w:color="auto"/>
                  </w:divBdr>
                  <w:divsChild>
                    <w:div w:id="247231986">
                      <w:marLeft w:val="0"/>
                      <w:marRight w:val="0"/>
                      <w:marTop w:val="0"/>
                      <w:marBottom w:val="0"/>
                      <w:divBdr>
                        <w:top w:val="none" w:sz="0" w:space="0" w:color="auto"/>
                        <w:left w:val="none" w:sz="0" w:space="0" w:color="auto"/>
                        <w:bottom w:val="none" w:sz="0" w:space="0" w:color="auto"/>
                        <w:right w:val="none" w:sz="0" w:space="0" w:color="auto"/>
                      </w:divBdr>
                    </w:div>
                  </w:divsChild>
                </w:div>
                <w:div w:id="1112168585">
                  <w:marLeft w:val="0"/>
                  <w:marRight w:val="0"/>
                  <w:marTop w:val="0"/>
                  <w:marBottom w:val="0"/>
                  <w:divBdr>
                    <w:top w:val="none" w:sz="0" w:space="0" w:color="auto"/>
                    <w:left w:val="none" w:sz="0" w:space="0" w:color="auto"/>
                    <w:bottom w:val="none" w:sz="0" w:space="0" w:color="auto"/>
                    <w:right w:val="none" w:sz="0" w:space="0" w:color="auto"/>
                  </w:divBdr>
                  <w:divsChild>
                    <w:div w:id="735855259">
                      <w:marLeft w:val="0"/>
                      <w:marRight w:val="0"/>
                      <w:marTop w:val="0"/>
                      <w:marBottom w:val="0"/>
                      <w:divBdr>
                        <w:top w:val="none" w:sz="0" w:space="0" w:color="auto"/>
                        <w:left w:val="none" w:sz="0" w:space="0" w:color="auto"/>
                        <w:bottom w:val="none" w:sz="0" w:space="0" w:color="auto"/>
                        <w:right w:val="none" w:sz="0" w:space="0" w:color="auto"/>
                      </w:divBdr>
                    </w:div>
                  </w:divsChild>
                </w:div>
                <w:div w:id="1027292234">
                  <w:marLeft w:val="0"/>
                  <w:marRight w:val="0"/>
                  <w:marTop w:val="0"/>
                  <w:marBottom w:val="0"/>
                  <w:divBdr>
                    <w:top w:val="none" w:sz="0" w:space="0" w:color="auto"/>
                    <w:left w:val="none" w:sz="0" w:space="0" w:color="auto"/>
                    <w:bottom w:val="none" w:sz="0" w:space="0" w:color="auto"/>
                    <w:right w:val="none" w:sz="0" w:space="0" w:color="auto"/>
                  </w:divBdr>
                  <w:divsChild>
                    <w:div w:id="875659108">
                      <w:marLeft w:val="0"/>
                      <w:marRight w:val="0"/>
                      <w:marTop w:val="0"/>
                      <w:marBottom w:val="0"/>
                      <w:divBdr>
                        <w:top w:val="none" w:sz="0" w:space="0" w:color="auto"/>
                        <w:left w:val="none" w:sz="0" w:space="0" w:color="auto"/>
                        <w:bottom w:val="none" w:sz="0" w:space="0" w:color="auto"/>
                        <w:right w:val="none" w:sz="0" w:space="0" w:color="auto"/>
                      </w:divBdr>
                    </w:div>
                  </w:divsChild>
                </w:div>
                <w:div w:id="1965652761">
                  <w:marLeft w:val="0"/>
                  <w:marRight w:val="0"/>
                  <w:marTop w:val="0"/>
                  <w:marBottom w:val="0"/>
                  <w:divBdr>
                    <w:top w:val="none" w:sz="0" w:space="0" w:color="auto"/>
                    <w:left w:val="none" w:sz="0" w:space="0" w:color="auto"/>
                    <w:bottom w:val="none" w:sz="0" w:space="0" w:color="auto"/>
                    <w:right w:val="none" w:sz="0" w:space="0" w:color="auto"/>
                  </w:divBdr>
                  <w:divsChild>
                    <w:div w:id="1813786577">
                      <w:marLeft w:val="0"/>
                      <w:marRight w:val="0"/>
                      <w:marTop w:val="0"/>
                      <w:marBottom w:val="0"/>
                      <w:divBdr>
                        <w:top w:val="none" w:sz="0" w:space="0" w:color="auto"/>
                        <w:left w:val="none" w:sz="0" w:space="0" w:color="auto"/>
                        <w:bottom w:val="none" w:sz="0" w:space="0" w:color="auto"/>
                        <w:right w:val="none" w:sz="0" w:space="0" w:color="auto"/>
                      </w:divBdr>
                    </w:div>
                  </w:divsChild>
                </w:div>
                <w:div w:id="709769858">
                  <w:marLeft w:val="0"/>
                  <w:marRight w:val="0"/>
                  <w:marTop w:val="0"/>
                  <w:marBottom w:val="0"/>
                  <w:divBdr>
                    <w:top w:val="none" w:sz="0" w:space="0" w:color="auto"/>
                    <w:left w:val="none" w:sz="0" w:space="0" w:color="auto"/>
                    <w:bottom w:val="none" w:sz="0" w:space="0" w:color="auto"/>
                    <w:right w:val="none" w:sz="0" w:space="0" w:color="auto"/>
                  </w:divBdr>
                  <w:divsChild>
                    <w:div w:id="170923698">
                      <w:marLeft w:val="0"/>
                      <w:marRight w:val="0"/>
                      <w:marTop w:val="0"/>
                      <w:marBottom w:val="0"/>
                      <w:divBdr>
                        <w:top w:val="none" w:sz="0" w:space="0" w:color="auto"/>
                        <w:left w:val="none" w:sz="0" w:space="0" w:color="auto"/>
                        <w:bottom w:val="none" w:sz="0" w:space="0" w:color="auto"/>
                        <w:right w:val="none" w:sz="0" w:space="0" w:color="auto"/>
                      </w:divBdr>
                    </w:div>
                  </w:divsChild>
                </w:div>
                <w:div w:id="526984627">
                  <w:marLeft w:val="0"/>
                  <w:marRight w:val="0"/>
                  <w:marTop w:val="0"/>
                  <w:marBottom w:val="0"/>
                  <w:divBdr>
                    <w:top w:val="none" w:sz="0" w:space="0" w:color="auto"/>
                    <w:left w:val="none" w:sz="0" w:space="0" w:color="auto"/>
                    <w:bottom w:val="none" w:sz="0" w:space="0" w:color="auto"/>
                    <w:right w:val="none" w:sz="0" w:space="0" w:color="auto"/>
                  </w:divBdr>
                  <w:divsChild>
                    <w:div w:id="364907114">
                      <w:marLeft w:val="0"/>
                      <w:marRight w:val="0"/>
                      <w:marTop w:val="0"/>
                      <w:marBottom w:val="0"/>
                      <w:divBdr>
                        <w:top w:val="none" w:sz="0" w:space="0" w:color="auto"/>
                        <w:left w:val="none" w:sz="0" w:space="0" w:color="auto"/>
                        <w:bottom w:val="none" w:sz="0" w:space="0" w:color="auto"/>
                        <w:right w:val="none" w:sz="0" w:space="0" w:color="auto"/>
                      </w:divBdr>
                    </w:div>
                  </w:divsChild>
                </w:div>
                <w:div w:id="1455057510">
                  <w:marLeft w:val="0"/>
                  <w:marRight w:val="0"/>
                  <w:marTop w:val="0"/>
                  <w:marBottom w:val="0"/>
                  <w:divBdr>
                    <w:top w:val="none" w:sz="0" w:space="0" w:color="auto"/>
                    <w:left w:val="none" w:sz="0" w:space="0" w:color="auto"/>
                    <w:bottom w:val="none" w:sz="0" w:space="0" w:color="auto"/>
                    <w:right w:val="none" w:sz="0" w:space="0" w:color="auto"/>
                  </w:divBdr>
                  <w:divsChild>
                    <w:div w:id="1471630894">
                      <w:marLeft w:val="0"/>
                      <w:marRight w:val="0"/>
                      <w:marTop w:val="0"/>
                      <w:marBottom w:val="0"/>
                      <w:divBdr>
                        <w:top w:val="none" w:sz="0" w:space="0" w:color="auto"/>
                        <w:left w:val="none" w:sz="0" w:space="0" w:color="auto"/>
                        <w:bottom w:val="none" w:sz="0" w:space="0" w:color="auto"/>
                        <w:right w:val="none" w:sz="0" w:space="0" w:color="auto"/>
                      </w:divBdr>
                    </w:div>
                  </w:divsChild>
                </w:div>
                <w:div w:id="1590894422">
                  <w:marLeft w:val="0"/>
                  <w:marRight w:val="0"/>
                  <w:marTop w:val="0"/>
                  <w:marBottom w:val="0"/>
                  <w:divBdr>
                    <w:top w:val="none" w:sz="0" w:space="0" w:color="auto"/>
                    <w:left w:val="none" w:sz="0" w:space="0" w:color="auto"/>
                    <w:bottom w:val="none" w:sz="0" w:space="0" w:color="auto"/>
                    <w:right w:val="none" w:sz="0" w:space="0" w:color="auto"/>
                  </w:divBdr>
                  <w:divsChild>
                    <w:div w:id="1518964">
                      <w:marLeft w:val="0"/>
                      <w:marRight w:val="0"/>
                      <w:marTop w:val="0"/>
                      <w:marBottom w:val="0"/>
                      <w:divBdr>
                        <w:top w:val="none" w:sz="0" w:space="0" w:color="auto"/>
                        <w:left w:val="none" w:sz="0" w:space="0" w:color="auto"/>
                        <w:bottom w:val="none" w:sz="0" w:space="0" w:color="auto"/>
                        <w:right w:val="none" w:sz="0" w:space="0" w:color="auto"/>
                      </w:divBdr>
                    </w:div>
                  </w:divsChild>
                </w:div>
                <w:div w:id="666909320">
                  <w:marLeft w:val="0"/>
                  <w:marRight w:val="0"/>
                  <w:marTop w:val="0"/>
                  <w:marBottom w:val="0"/>
                  <w:divBdr>
                    <w:top w:val="none" w:sz="0" w:space="0" w:color="auto"/>
                    <w:left w:val="none" w:sz="0" w:space="0" w:color="auto"/>
                    <w:bottom w:val="none" w:sz="0" w:space="0" w:color="auto"/>
                    <w:right w:val="none" w:sz="0" w:space="0" w:color="auto"/>
                  </w:divBdr>
                  <w:divsChild>
                    <w:div w:id="759907931">
                      <w:marLeft w:val="0"/>
                      <w:marRight w:val="0"/>
                      <w:marTop w:val="0"/>
                      <w:marBottom w:val="0"/>
                      <w:divBdr>
                        <w:top w:val="none" w:sz="0" w:space="0" w:color="auto"/>
                        <w:left w:val="none" w:sz="0" w:space="0" w:color="auto"/>
                        <w:bottom w:val="none" w:sz="0" w:space="0" w:color="auto"/>
                        <w:right w:val="none" w:sz="0" w:space="0" w:color="auto"/>
                      </w:divBdr>
                    </w:div>
                  </w:divsChild>
                </w:div>
                <w:div w:id="1237401285">
                  <w:marLeft w:val="0"/>
                  <w:marRight w:val="0"/>
                  <w:marTop w:val="0"/>
                  <w:marBottom w:val="0"/>
                  <w:divBdr>
                    <w:top w:val="none" w:sz="0" w:space="0" w:color="auto"/>
                    <w:left w:val="none" w:sz="0" w:space="0" w:color="auto"/>
                    <w:bottom w:val="none" w:sz="0" w:space="0" w:color="auto"/>
                    <w:right w:val="none" w:sz="0" w:space="0" w:color="auto"/>
                  </w:divBdr>
                  <w:divsChild>
                    <w:div w:id="2130121698">
                      <w:marLeft w:val="0"/>
                      <w:marRight w:val="0"/>
                      <w:marTop w:val="0"/>
                      <w:marBottom w:val="0"/>
                      <w:divBdr>
                        <w:top w:val="none" w:sz="0" w:space="0" w:color="auto"/>
                        <w:left w:val="none" w:sz="0" w:space="0" w:color="auto"/>
                        <w:bottom w:val="none" w:sz="0" w:space="0" w:color="auto"/>
                        <w:right w:val="none" w:sz="0" w:space="0" w:color="auto"/>
                      </w:divBdr>
                    </w:div>
                  </w:divsChild>
                </w:div>
                <w:div w:id="1437559774">
                  <w:marLeft w:val="0"/>
                  <w:marRight w:val="0"/>
                  <w:marTop w:val="0"/>
                  <w:marBottom w:val="0"/>
                  <w:divBdr>
                    <w:top w:val="none" w:sz="0" w:space="0" w:color="auto"/>
                    <w:left w:val="none" w:sz="0" w:space="0" w:color="auto"/>
                    <w:bottom w:val="none" w:sz="0" w:space="0" w:color="auto"/>
                    <w:right w:val="none" w:sz="0" w:space="0" w:color="auto"/>
                  </w:divBdr>
                  <w:divsChild>
                    <w:div w:id="933123290">
                      <w:marLeft w:val="0"/>
                      <w:marRight w:val="0"/>
                      <w:marTop w:val="0"/>
                      <w:marBottom w:val="0"/>
                      <w:divBdr>
                        <w:top w:val="none" w:sz="0" w:space="0" w:color="auto"/>
                        <w:left w:val="none" w:sz="0" w:space="0" w:color="auto"/>
                        <w:bottom w:val="none" w:sz="0" w:space="0" w:color="auto"/>
                        <w:right w:val="none" w:sz="0" w:space="0" w:color="auto"/>
                      </w:divBdr>
                    </w:div>
                  </w:divsChild>
                </w:div>
                <w:div w:id="313410685">
                  <w:marLeft w:val="0"/>
                  <w:marRight w:val="0"/>
                  <w:marTop w:val="0"/>
                  <w:marBottom w:val="0"/>
                  <w:divBdr>
                    <w:top w:val="none" w:sz="0" w:space="0" w:color="auto"/>
                    <w:left w:val="none" w:sz="0" w:space="0" w:color="auto"/>
                    <w:bottom w:val="none" w:sz="0" w:space="0" w:color="auto"/>
                    <w:right w:val="none" w:sz="0" w:space="0" w:color="auto"/>
                  </w:divBdr>
                  <w:divsChild>
                    <w:div w:id="1185829934">
                      <w:marLeft w:val="0"/>
                      <w:marRight w:val="0"/>
                      <w:marTop w:val="0"/>
                      <w:marBottom w:val="0"/>
                      <w:divBdr>
                        <w:top w:val="none" w:sz="0" w:space="0" w:color="auto"/>
                        <w:left w:val="none" w:sz="0" w:space="0" w:color="auto"/>
                        <w:bottom w:val="none" w:sz="0" w:space="0" w:color="auto"/>
                        <w:right w:val="none" w:sz="0" w:space="0" w:color="auto"/>
                      </w:divBdr>
                    </w:div>
                  </w:divsChild>
                </w:div>
                <w:div w:id="701174360">
                  <w:marLeft w:val="0"/>
                  <w:marRight w:val="0"/>
                  <w:marTop w:val="0"/>
                  <w:marBottom w:val="0"/>
                  <w:divBdr>
                    <w:top w:val="none" w:sz="0" w:space="0" w:color="auto"/>
                    <w:left w:val="none" w:sz="0" w:space="0" w:color="auto"/>
                    <w:bottom w:val="none" w:sz="0" w:space="0" w:color="auto"/>
                    <w:right w:val="none" w:sz="0" w:space="0" w:color="auto"/>
                  </w:divBdr>
                  <w:divsChild>
                    <w:div w:id="247351539">
                      <w:marLeft w:val="0"/>
                      <w:marRight w:val="0"/>
                      <w:marTop w:val="0"/>
                      <w:marBottom w:val="0"/>
                      <w:divBdr>
                        <w:top w:val="none" w:sz="0" w:space="0" w:color="auto"/>
                        <w:left w:val="none" w:sz="0" w:space="0" w:color="auto"/>
                        <w:bottom w:val="none" w:sz="0" w:space="0" w:color="auto"/>
                        <w:right w:val="none" w:sz="0" w:space="0" w:color="auto"/>
                      </w:divBdr>
                    </w:div>
                  </w:divsChild>
                </w:div>
                <w:div w:id="1609117483">
                  <w:marLeft w:val="0"/>
                  <w:marRight w:val="0"/>
                  <w:marTop w:val="0"/>
                  <w:marBottom w:val="0"/>
                  <w:divBdr>
                    <w:top w:val="none" w:sz="0" w:space="0" w:color="auto"/>
                    <w:left w:val="none" w:sz="0" w:space="0" w:color="auto"/>
                    <w:bottom w:val="none" w:sz="0" w:space="0" w:color="auto"/>
                    <w:right w:val="none" w:sz="0" w:space="0" w:color="auto"/>
                  </w:divBdr>
                  <w:divsChild>
                    <w:div w:id="1445297914">
                      <w:marLeft w:val="0"/>
                      <w:marRight w:val="0"/>
                      <w:marTop w:val="0"/>
                      <w:marBottom w:val="0"/>
                      <w:divBdr>
                        <w:top w:val="none" w:sz="0" w:space="0" w:color="auto"/>
                        <w:left w:val="none" w:sz="0" w:space="0" w:color="auto"/>
                        <w:bottom w:val="none" w:sz="0" w:space="0" w:color="auto"/>
                        <w:right w:val="none" w:sz="0" w:space="0" w:color="auto"/>
                      </w:divBdr>
                    </w:div>
                  </w:divsChild>
                </w:div>
                <w:div w:id="61223014">
                  <w:marLeft w:val="0"/>
                  <w:marRight w:val="0"/>
                  <w:marTop w:val="0"/>
                  <w:marBottom w:val="0"/>
                  <w:divBdr>
                    <w:top w:val="none" w:sz="0" w:space="0" w:color="auto"/>
                    <w:left w:val="none" w:sz="0" w:space="0" w:color="auto"/>
                    <w:bottom w:val="none" w:sz="0" w:space="0" w:color="auto"/>
                    <w:right w:val="none" w:sz="0" w:space="0" w:color="auto"/>
                  </w:divBdr>
                  <w:divsChild>
                    <w:div w:id="151145380">
                      <w:marLeft w:val="0"/>
                      <w:marRight w:val="0"/>
                      <w:marTop w:val="0"/>
                      <w:marBottom w:val="0"/>
                      <w:divBdr>
                        <w:top w:val="none" w:sz="0" w:space="0" w:color="auto"/>
                        <w:left w:val="none" w:sz="0" w:space="0" w:color="auto"/>
                        <w:bottom w:val="none" w:sz="0" w:space="0" w:color="auto"/>
                        <w:right w:val="none" w:sz="0" w:space="0" w:color="auto"/>
                      </w:divBdr>
                    </w:div>
                  </w:divsChild>
                </w:div>
                <w:div w:id="1866820197">
                  <w:marLeft w:val="0"/>
                  <w:marRight w:val="0"/>
                  <w:marTop w:val="0"/>
                  <w:marBottom w:val="0"/>
                  <w:divBdr>
                    <w:top w:val="none" w:sz="0" w:space="0" w:color="auto"/>
                    <w:left w:val="none" w:sz="0" w:space="0" w:color="auto"/>
                    <w:bottom w:val="none" w:sz="0" w:space="0" w:color="auto"/>
                    <w:right w:val="none" w:sz="0" w:space="0" w:color="auto"/>
                  </w:divBdr>
                  <w:divsChild>
                    <w:div w:id="1218324986">
                      <w:marLeft w:val="0"/>
                      <w:marRight w:val="0"/>
                      <w:marTop w:val="0"/>
                      <w:marBottom w:val="0"/>
                      <w:divBdr>
                        <w:top w:val="none" w:sz="0" w:space="0" w:color="auto"/>
                        <w:left w:val="none" w:sz="0" w:space="0" w:color="auto"/>
                        <w:bottom w:val="none" w:sz="0" w:space="0" w:color="auto"/>
                        <w:right w:val="none" w:sz="0" w:space="0" w:color="auto"/>
                      </w:divBdr>
                    </w:div>
                  </w:divsChild>
                </w:div>
                <w:div w:id="752162014">
                  <w:marLeft w:val="0"/>
                  <w:marRight w:val="0"/>
                  <w:marTop w:val="0"/>
                  <w:marBottom w:val="0"/>
                  <w:divBdr>
                    <w:top w:val="none" w:sz="0" w:space="0" w:color="auto"/>
                    <w:left w:val="none" w:sz="0" w:space="0" w:color="auto"/>
                    <w:bottom w:val="none" w:sz="0" w:space="0" w:color="auto"/>
                    <w:right w:val="none" w:sz="0" w:space="0" w:color="auto"/>
                  </w:divBdr>
                  <w:divsChild>
                    <w:div w:id="1132209329">
                      <w:marLeft w:val="0"/>
                      <w:marRight w:val="0"/>
                      <w:marTop w:val="0"/>
                      <w:marBottom w:val="0"/>
                      <w:divBdr>
                        <w:top w:val="none" w:sz="0" w:space="0" w:color="auto"/>
                        <w:left w:val="none" w:sz="0" w:space="0" w:color="auto"/>
                        <w:bottom w:val="none" w:sz="0" w:space="0" w:color="auto"/>
                        <w:right w:val="none" w:sz="0" w:space="0" w:color="auto"/>
                      </w:divBdr>
                    </w:div>
                  </w:divsChild>
                </w:div>
                <w:div w:id="1242132887">
                  <w:marLeft w:val="0"/>
                  <w:marRight w:val="0"/>
                  <w:marTop w:val="0"/>
                  <w:marBottom w:val="0"/>
                  <w:divBdr>
                    <w:top w:val="none" w:sz="0" w:space="0" w:color="auto"/>
                    <w:left w:val="none" w:sz="0" w:space="0" w:color="auto"/>
                    <w:bottom w:val="none" w:sz="0" w:space="0" w:color="auto"/>
                    <w:right w:val="none" w:sz="0" w:space="0" w:color="auto"/>
                  </w:divBdr>
                  <w:divsChild>
                    <w:div w:id="553347084">
                      <w:marLeft w:val="0"/>
                      <w:marRight w:val="0"/>
                      <w:marTop w:val="0"/>
                      <w:marBottom w:val="0"/>
                      <w:divBdr>
                        <w:top w:val="none" w:sz="0" w:space="0" w:color="auto"/>
                        <w:left w:val="none" w:sz="0" w:space="0" w:color="auto"/>
                        <w:bottom w:val="none" w:sz="0" w:space="0" w:color="auto"/>
                        <w:right w:val="none" w:sz="0" w:space="0" w:color="auto"/>
                      </w:divBdr>
                    </w:div>
                  </w:divsChild>
                </w:div>
                <w:div w:id="462037849">
                  <w:marLeft w:val="0"/>
                  <w:marRight w:val="0"/>
                  <w:marTop w:val="0"/>
                  <w:marBottom w:val="0"/>
                  <w:divBdr>
                    <w:top w:val="none" w:sz="0" w:space="0" w:color="auto"/>
                    <w:left w:val="none" w:sz="0" w:space="0" w:color="auto"/>
                    <w:bottom w:val="none" w:sz="0" w:space="0" w:color="auto"/>
                    <w:right w:val="none" w:sz="0" w:space="0" w:color="auto"/>
                  </w:divBdr>
                  <w:divsChild>
                    <w:div w:id="1385251195">
                      <w:marLeft w:val="0"/>
                      <w:marRight w:val="0"/>
                      <w:marTop w:val="0"/>
                      <w:marBottom w:val="0"/>
                      <w:divBdr>
                        <w:top w:val="none" w:sz="0" w:space="0" w:color="auto"/>
                        <w:left w:val="none" w:sz="0" w:space="0" w:color="auto"/>
                        <w:bottom w:val="none" w:sz="0" w:space="0" w:color="auto"/>
                        <w:right w:val="none" w:sz="0" w:space="0" w:color="auto"/>
                      </w:divBdr>
                    </w:div>
                  </w:divsChild>
                </w:div>
                <w:div w:id="955409814">
                  <w:marLeft w:val="0"/>
                  <w:marRight w:val="0"/>
                  <w:marTop w:val="0"/>
                  <w:marBottom w:val="0"/>
                  <w:divBdr>
                    <w:top w:val="none" w:sz="0" w:space="0" w:color="auto"/>
                    <w:left w:val="none" w:sz="0" w:space="0" w:color="auto"/>
                    <w:bottom w:val="none" w:sz="0" w:space="0" w:color="auto"/>
                    <w:right w:val="none" w:sz="0" w:space="0" w:color="auto"/>
                  </w:divBdr>
                  <w:divsChild>
                    <w:div w:id="637689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115807">
          <w:marLeft w:val="0"/>
          <w:marRight w:val="0"/>
          <w:marTop w:val="0"/>
          <w:marBottom w:val="0"/>
          <w:divBdr>
            <w:top w:val="none" w:sz="0" w:space="0" w:color="auto"/>
            <w:left w:val="none" w:sz="0" w:space="0" w:color="auto"/>
            <w:bottom w:val="none" w:sz="0" w:space="0" w:color="auto"/>
            <w:right w:val="none" w:sz="0" w:space="0" w:color="auto"/>
          </w:divBdr>
        </w:div>
        <w:div w:id="1631131619">
          <w:marLeft w:val="0"/>
          <w:marRight w:val="0"/>
          <w:marTop w:val="0"/>
          <w:marBottom w:val="0"/>
          <w:divBdr>
            <w:top w:val="none" w:sz="0" w:space="0" w:color="auto"/>
            <w:left w:val="none" w:sz="0" w:space="0" w:color="auto"/>
            <w:bottom w:val="none" w:sz="0" w:space="0" w:color="auto"/>
            <w:right w:val="none" w:sz="0" w:space="0" w:color="auto"/>
          </w:divBdr>
        </w:div>
        <w:div w:id="1641033039">
          <w:marLeft w:val="0"/>
          <w:marRight w:val="0"/>
          <w:marTop w:val="0"/>
          <w:marBottom w:val="0"/>
          <w:divBdr>
            <w:top w:val="none" w:sz="0" w:space="0" w:color="auto"/>
            <w:left w:val="none" w:sz="0" w:space="0" w:color="auto"/>
            <w:bottom w:val="none" w:sz="0" w:space="0" w:color="auto"/>
            <w:right w:val="none" w:sz="0" w:space="0" w:color="auto"/>
          </w:divBdr>
        </w:div>
        <w:div w:id="1048995382">
          <w:marLeft w:val="0"/>
          <w:marRight w:val="0"/>
          <w:marTop w:val="0"/>
          <w:marBottom w:val="0"/>
          <w:divBdr>
            <w:top w:val="none" w:sz="0" w:space="0" w:color="auto"/>
            <w:left w:val="none" w:sz="0" w:space="0" w:color="auto"/>
            <w:bottom w:val="none" w:sz="0" w:space="0" w:color="auto"/>
            <w:right w:val="none" w:sz="0" w:space="0" w:color="auto"/>
          </w:divBdr>
        </w:div>
        <w:div w:id="1276057838">
          <w:marLeft w:val="0"/>
          <w:marRight w:val="0"/>
          <w:marTop w:val="0"/>
          <w:marBottom w:val="0"/>
          <w:divBdr>
            <w:top w:val="none" w:sz="0" w:space="0" w:color="auto"/>
            <w:left w:val="none" w:sz="0" w:space="0" w:color="auto"/>
            <w:bottom w:val="none" w:sz="0" w:space="0" w:color="auto"/>
            <w:right w:val="none" w:sz="0" w:space="0" w:color="auto"/>
          </w:divBdr>
        </w:div>
        <w:div w:id="1662588005">
          <w:marLeft w:val="0"/>
          <w:marRight w:val="0"/>
          <w:marTop w:val="0"/>
          <w:marBottom w:val="0"/>
          <w:divBdr>
            <w:top w:val="none" w:sz="0" w:space="0" w:color="auto"/>
            <w:left w:val="none" w:sz="0" w:space="0" w:color="auto"/>
            <w:bottom w:val="none" w:sz="0" w:space="0" w:color="auto"/>
            <w:right w:val="none" w:sz="0" w:space="0" w:color="auto"/>
          </w:divBdr>
        </w:div>
        <w:div w:id="2026712514">
          <w:marLeft w:val="0"/>
          <w:marRight w:val="0"/>
          <w:marTop w:val="0"/>
          <w:marBottom w:val="0"/>
          <w:divBdr>
            <w:top w:val="none" w:sz="0" w:space="0" w:color="auto"/>
            <w:left w:val="none" w:sz="0" w:space="0" w:color="auto"/>
            <w:bottom w:val="none" w:sz="0" w:space="0" w:color="auto"/>
            <w:right w:val="none" w:sz="0" w:space="0" w:color="auto"/>
          </w:divBdr>
        </w:div>
        <w:div w:id="229314212">
          <w:marLeft w:val="0"/>
          <w:marRight w:val="0"/>
          <w:marTop w:val="0"/>
          <w:marBottom w:val="0"/>
          <w:divBdr>
            <w:top w:val="none" w:sz="0" w:space="0" w:color="auto"/>
            <w:left w:val="none" w:sz="0" w:space="0" w:color="auto"/>
            <w:bottom w:val="none" w:sz="0" w:space="0" w:color="auto"/>
            <w:right w:val="none" w:sz="0" w:space="0" w:color="auto"/>
          </w:divBdr>
        </w:div>
        <w:div w:id="1024358734">
          <w:marLeft w:val="0"/>
          <w:marRight w:val="0"/>
          <w:marTop w:val="0"/>
          <w:marBottom w:val="0"/>
          <w:divBdr>
            <w:top w:val="none" w:sz="0" w:space="0" w:color="auto"/>
            <w:left w:val="none" w:sz="0" w:space="0" w:color="auto"/>
            <w:bottom w:val="none" w:sz="0" w:space="0" w:color="auto"/>
            <w:right w:val="none" w:sz="0" w:space="0" w:color="auto"/>
          </w:divBdr>
        </w:div>
        <w:div w:id="1273586698">
          <w:marLeft w:val="0"/>
          <w:marRight w:val="0"/>
          <w:marTop w:val="0"/>
          <w:marBottom w:val="0"/>
          <w:divBdr>
            <w:top w:val="none" w:sz="0" w:space="0" w:color="auto"/>
            <w:left w:val="none" w:sz="0" w:space="0" w:color="auto"/>
            <w:bottom w:val="none" w:sz="0" w:space="0" w:color="auto"/>
            <w:right w:val="none" w:sz="0" w:space="0" w:color="auto"/>
          </w:divBdr>
        </w:div>
        <w:div w:id="42027503">
          <w:marLeft w:val="0"/>
          <w:marRight w:val="0"/>
          <w:marTop w:val="0"/>
          <w:marBottom w:val="0"/>
          <w:divBdr>
            <w:top w:val="none" w:sz="0" w:space="0" w:color="auto"/>
            <w:left w:val="none" w:sz="0" w:space="0" w:color="auto"/>
            <w:bottom w:val="none" w:sz="0" w:space="0" w:color="auto"/>
            <w:right w:val="none" w:sz="0" w:space="0" w:color="auto"/>
          </w:divBdr>
        </w:div>
        <w:div w:id="1634367223">
          <w:marLeft w:val="0"/>
          <w:marRight w:val="0"/>
          <w:marTop w:val="0"/>
          <w:marBottom w:val="0"/>
          <w:divBdr>
            <w:top w:val="none" w:sz="0" w:space="0" w:color="auto"/>
            <w:left w:val="none" w:sz="0" w:space="0" w:color="auto"/>
            <w:bottom w:val="none" w:sz="0" w:space="0" w:color="auto"/>
            <w:right w:val="none" w:sz="0" w:space="0" w:color="auto"/>
          </w:divBdr>
        </w:div>
        <w:div w:id="170879097">
          <w:marLeft w:val="0"/>
          <w:marRight w:val="0"/>
          <w:marTop w:val="0"/>
          <w:marBottom w:val="0"/>
          <w:divBdr>
            <w:top w:val="none" w:sz="0" w:space="0" w:color="auto"/>
            <w:left w:val="none" w:sz="0" w:space="0" w:color="auto"/>
            <w:bottom w:val="none" w:sz="0" w:space="0" w:color="auto"/>
            <w:right w:val="none" w:sz="0" w:space="0" w:color="auto"/>
          </w:divBdr>
        </w:div>
        <w:div w:id="95490951">
          <w:marLeft w:val="0"/>
          <w:marRight w:val="0"/>
          <w:marTop w:val="0"/>
          <w:marBottom w:val="0"/>
          <w:divBdr>
            <w:top w:val="none" w:sz="0" w:space="0" w:color="auto"/>
            <w:left w:val="none" w:sz="0" w:space="0" w:color="auto"/>
            <w:bottom w:val="none" w:sz="0" w:space="0" w:color="auto"/>
            <w:right w:val="none" w:sz="0" w:space="0" w:color="auto"/>
          </w:divBdr>
        </w:div>
        <w:div w:id="990253052">
          <w:marLeft w:val="0"/>
          <w:marRight w:val="0"/>
          <w:marTop w:val="0"/>
          <w:marBottom w:val="0"/>
          <w:divBdr>
            <w:top w:val="none" w:sz="0" w:space="0" w:color="auto"/>
            <w:left w:val="none" w:sz="0" w:space="0" w:color="auto"/>
            <w:bottom w:val="none" w:sz="0" w:space="0" w:color="auto"/>
            <w:right w:val="none" w:sz="0" w:space="0" w:color="auto"/>
          </w:divBdr>
        </w:div>
        <w:div w:id="1102997782">
          <w:marLeft w:val="0"/>
          <w:marRight w:val="0"/>
          <w:marTop w:val="0"/>
          <w:marBottom w:val="0"/>
          <w:divBdr>
            <w:top w:val="none" w:sz="0" w:space="0" w:color="auto"/>
            <w:left w:val="none" w:sz="0" w:space="0" w:color="auto"/>
            <w:bottom w:val="none" w:sz="0" w:space="0" w:color="auto"/>
            <w:right w:val="none" w:sz="0" w:space="0" w:color="auto"/>
          </w:divBdr>
        </w:div>
        <w:div w:id="384064012">
          <w:marLeft w:val="0"/>
          <w:marRight w:val="0"/>
          <w:marTop w:val="0"/>
          <w:marBottom w:val="0"/>
          <w:divBdr>
            <w:top w:val="none" w:sz="0" w:space="0" w:color="auto"/>
            <w:left w:val="none" w:sz="0" w:space="0" w:color="auto"/>
            <w:bottom w:val="none" w:sz="0" w:space="0" w:color="auto"/>
            <w:right w:val="none" w:sz="0" w:space="0" w:color="auto"/>
          </w:divBdr>
        </w:div>
        <w:div w:id="845556106">
          <w:marLeft w:val="0"/>
          <w:marRight w:val="0"/>
          <w:marTop w:val="0"/>
          <w:marBottom w:val="0"/>
          <w:divBdr>
            <w:top w:val="none" w:sz="0" w:space="0" w:color="auto"/>
            <w:left w:val="none" w:sz="0" w:space="0" w:color="auto"/>
            <w:bottom w:val="none" w:sz="0" w:space="0" w:color="auto"/>
            <w:right w:val="none" w:sz="0" w:space="0" w:color="auto"/>
          </w:divBdr>
        </w:div>
      </w:divsChild>
    </w:div>
    <w:div w:id="816073235">
      <w:bodyDiv w:val="1"/>
      <w:marLeft w:val="0"/>
      <w:marRight w:val="0"/>
      <w:marTop w:val="0"/>
      <w:marBottom w:val="0"/>
      <w:divBdr>
        <w:top w:val="none" w:sz="0" w:space="0" w:color="auto"/>
        <w:left w:val="none" w:sz="0" w:space="0" w:color="auto"/>
        <w:bottom w:val="none" w:sz="0" w:space="0" w:color="auto"/>
        <w:right w:val="none" w:sz="0" w:space="0" w:color="auto"/>
      </w:divBdr>
    </w:div>
    <w:div w:id="820925756">
      <w:bodyDiv w:val="1"/>
      <w:marLeft w:val="0"/>
      <w:marRight w:val="0"/>
      <w:marTop w:val="0"/>
      <w:marBottom w:val="0"/>
      <w:divBdr>
        <w:top w:val="none" w:sz="0" w:space="0" w:color="auto"/>
        <w:left w:val="none" w:sz="0" w:space="0" w:color="auto"/>
        <w:bottom w:val="none" w:sz="0" w:space="0" w:color="auto"/>
        <w:right w:val="none" w:sz="0" w:space="0" w:color="auto"/>
      </w:divBdr>
      <w:divsChild>
        <w:div w:id="1635066707">
          <w:marLeft w:val="0"/>
          <w:marRight w:val="0"/>
          <w:marTop w:val="0"/>
          <w:marBottom w:val="0"/>
          <w:divBdr>
            <w:top w:val="none" w:sz="0" w:space="0" w:color="auto"/>
            <w:left w:val="none" w:sz="0" w:space="0" w:color="auto"/>
            <w:bottom w:val="none" w:sz="0" w:space="0" w:color="auto"/>
            <w:right w:val="none" w:sz="0" w:space="0" w:color="auto"/>
          </w:divBdr>
          <w:divsChild>
            <w:div w:id="342897353">
              <w:marLeft w:val="0"/>
              <w:marRight w:val="0"/>
              <w:marTop w:val="0"/>
              <w:marBottom w:val="0"/>
              <w:divBdr>
                <w:top w:val="none" w:sz="0" w:space="0" w:color="auto"/>
                <w:left w:val="none" w:sz="0" w:space="0" w:color="auto"/>
                <w:bottom w:val="none" w:sz="0" w:space="0" w:color="auto"/>
                <w:right w:val="none" w:sz="0" w:space="0" w:color="auto"/>
              </w:divBdr>
              <w:divsChild>
                <w:div w:id="2026709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9124220">
      <w:bodyDiv w:val="1"/>
      <w:marLeft w:val="0"/>
      <w:marRight w:val="0"/>
      <w:marTop w:val="0"/>
      <w:marBottom w:val="0"/>
      <w:divBdr>
        <w:top w:val="none" w:sz="0" w:space="0" w:color="auto"/>
        <w:left w:val="none" w:sz="0" w:space="0" w:color="auto"/>
        <w:bottom w:val="none" w:sz="0" w:space="0" w:color="auto"/>
        <w:right w:val="none" w:sz="0" w:space="0" w:color="auto"/>
      </w:divBdr>
      <w:divsChild>
        <w:div w:id="799568875">
          <w:marLeft w:val="0"/>
          <w:marRight w:val="0"/>
          <w:marTop w:val="0"/>
          <w:marBottom w:val="0"/>
          <w:divBdr>
            <w:top w:val="none" w:sz="0" w:space="0" w:color="auto"/>
            <w:left w:val="none" w:sz="0" w:space="0" w:color="auto"/>
            <w:bottom w:val="none" w:sz="0" w:space="0" w:color="auto"/>
            <w:right w:val="none" w:sz="0" w:space="0" w:color="auto"/>
          </w:divBdr>
          <w:divsChild>
            <w:div w:id="1152601481">
              <w:marLeft w:val="0"/>
              <w:marRight w:val="0"/>
              <w:marTop w:val="0"/>
              <w:marBottom w:val="0"/>
              <w:divBdr>
                <w:top w:val="none" w:sz="0" w:space="0" w:color="auto"/>
                <w:left w:val="none" w:sz="0" w:space="0" w:color="auto"/>
                <w:bottom w:val="none" w:sz="0" w:space="0" w:color="auto"/>
                <w:right w:val="none" w:sz="0" w:space="0" w:color="auto"/>
              </w:divBdr>
              <w:divsChild>
                <w:div w:id="951590759">
                  <w:marLeft w:val="0"/>
                  <w:marRight w:val="0"/>
                  <w:marTop w:val="0"/>
                  <w:marBottom w:val="0"/>
                  <w:divBdr>
                    <w:top w:val="none" w:sz="0" w:space="0" w:color="auto"/>
                    <w:left w:val="none" w:sz="0" w:space="0" w:color="auto"/>
                    <w:bottom w:val="none" w:sz="0" w:space="0" w:color="auto"/>
                    <w:right w:val="none" w:sz="0" w:space="0" w:color="auto"/>
                  </w:divBdr>
                  <w:divsChild>
                    <w:div w:id="1953315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1626381">
      <w:bodyDiv w:val="1"/>
      <w:marLeft w:val="0"/>
      <w:marRight w:val="0"/>
      <w:marTop w:val="0"/>
      <w:marBottom w:val="0"/>
      <w:divBdr>
        <w:top w:val="none" w:sz="0" w:space="0" w:color="auto"/>
        <w:left w:val="none" w:sz="0" w:space="0" w:color="auto"/>
        <w:bottom w:val="none" w:sz="0" w:space="0" w:color="auto"/>
        <w:right w:val="none" w:sz="0" w:space="0" w:color="auto"/>
      </w:divBdr>
      <w:divsChild>
        <w:div w:id="1556046009">
          <w:marLeft w:val="0"/>
          <w:marRight w:val="0"/>
          <w:marTop w:val="0"/>
          <w:marBottom w:val="0"/>
          <w:divBdr>
            <w:top w:val="none" w:sz="0" w:space="0" w:color="auto"/>
            <w:left w:val="none" w:sz="0" w:space="0" w:color="auto"/>
            <w:bottom w:val="none" w:sz="0" w:space="0" w:color="auto"/>
            <w:right w:val="none" w:sz="0" w:space="0" w:color="auto"/>
          </w:divBdr>
          <w:divsChild>
            <w:div w:id="252513617">
              <w:marLeft w:val="0"/>
              <w:marRight w:val="0"/>
              <w:marTop w:val="0"/>
              <w:marBottom w:val="0"/>
              <w:divBdr>
                <w:top w:val="none" w:sz="0" w:space="0" w:color="auto"/>
                <w:left w:val="none" w:sz="0" w:space="0" w:color="auto"/>
                <w:bottom w:val="none" w:sz="0" w:space="0" w:color="auto"/>
                <w:right w:val="none" w:sz="0" w:space="0" w:color="auto"/>
              </w:divBdr>
              <w:divsChild>
                <w:div w:id="1029263986">
                  <w:marLeft w:val="0"/>
                  <w:marRight w:val="0"/>
                  <w:marTop w:val="0"/>
                  <w:marBottom w:val="0"/>
                  <w:divBdr>
                    <w:top w:val="none" w:sz="0" w:space="0" w:color="auto"/>
                    <w:left w:val="none" w:sz="0" w:space="0" w:color="auto"/>
                    <w:bottom w:val="none" w:sz="0" w:space="0" w:color="auto"/>
                    <w:right w:val="none" w:sz="0" w:space="0" w:color="auto"/>
                  </w:divBdr>
                  <w:divsChild>
                    <w:div w:id="483470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0611142">
      <w:bodyDiv w:val="1"/>
      <w:marLeft w:val="0"/>
      <w:marRight w:val="0"/>
      <w:marTop w:val="0"/>
      <w:marBottom w:val="0"/>
      <w:divBdr>
        <w:top w:val="none" w:sz="0" w:space="0" w:color="auto"/>
        <w:left w:val="none" w:sz="0" w:space="0" w:color="auto"/>
        <w:bottom w:val="none" w:sz="0" w:space="0" w:color="auto"/>
        <w:right w:val="none" w:sz="0" w:space="0" w:color="auto"/>
      </w:divBdr>
    </w:div>
    <w:div w:id="897279201">
      <w:bodyDiv w:val="1"/>
      <w:marLeft w:val="0"/>
      <w:marRight w:val="0"/>
      <w:marTop w:val="0"/>
      <w:marBottom w:val="0"/>
      <w:divBdr>
        <w:top w:val="none" w:sz="0" w:space="0" w:color="auto"/>
        <w:left w:val="none" w:sz="0" w:space="0" w:color="auto"/>
        <w:bottom w:val="none" w:sz="0" w:space="0" w:color="auto"/>
        <w:right w:val="none" w:sz="0" w:space="0" w:color="auto"/>
      </w:divBdr>
    </w:div>
    <w:div w:id="900142603">
      <w:bodyDiv w:val="1"/>
      <w:marLeft w:val="0"/>
      <w:marRight w:val="0"/>
      <w:marTop w:val="0"/>
      <w:marBottom w:val="0"/>
      <w:divBdr>
        <w:top w:val="none" w:sz="0" w:space="0" w:color="auto"/>
        <w:left w:val="none" w:sz="0" w:space="0" w:color="auto"/>
        <w:bottom w:val="none" w:sz="0" w:space="0" w:color="auto"/>
        <w:right w:val="none" w:sz="0" w:space="0" w:color="auto"/>
      </w:divBdr>
      <w:divsChild>
        <w:div w:id="501821591">
          <w:marLeft w:val="0"/>
          <w:marRight w:val="0"/>
          <w:marTop w:val="0"/>
          <w:marBottom w:val="0"/>
          <w:divBdr>
            <w:top w:val="none" w:sz="0" w:space="0" w:color="auto"/>
            <w:left w:val="none" w:sz="0" w:space="0" w:color="auto"/>
            <w:bottom w:val="none" w:sz="0" w:space="0" w:color="auto"/>
            <w:right w:val="none" w:sz="0" w:space="0" w:color="auto"/>
          </w:divBdr>
          <w:divsChild>
            <w:div w:id="1829907867">
              <w:marLeft w:val="0"/>
              <w:marRight w:val="0"/>
              <w:marTop w:val="0"/>
              <w:marBottom w:val="0"/>
              <w:divBdr>
                <w:top w:val="none" w:sz="0" w:space="0" w:color="auto"/>
                <w:left w:val="none" w:sz="0" w:space="0" w:color="auto"/>
                <w:bottom w:val="none" w:sz="0" w:space="0" w:color="auto"/>
                <w:right w:val="none" w:sz="0" w:space="0" w:color="auto"/>
              </w:divBdr>
              <w:divsChild>
                <w:div w:id="2041274341">
                  <w:marLeft w:val="0"/>
                  <w:marRight w:val="0"/>
                  <w:marTop w:val="0"/>
                  <w:marBottom w:val="0"/>
                  <w:divBdr>
                    <w:top w:val="none" w:sz="0" w:space="0" w:color="auto"/>
                    <w:left w:val="none" w:sz="0" w:space="0" w:color="auto"/>
                    <w:bottom w:val="none" w:sz="0" w:space="0" w:color="auto"/>
                    <w:right w:val="none" w:sz="0" w:space="0" w:color="auto"/>
                  </w:divBdr>
                  <w:divsChild>
                    <w:div w:id="551890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871629">
      <w:bodyDiv w:val="1"/>
      <w:marLeft w:val="0"/>
      <w:marRight w:val="0"/>
      <w:marTop w:val="0"/>
      <w:marBottom w:val="0"/>
      <w:divBdr>
        <w:top w:val="none" w:sz="0" w:space="0" w:color="auto"/>
        <w:left w:val="none" w:sz="0" w:space="0" w:color="auto"/>
        <w:bottom w:val="none" w:sz="0" w:space="0" w:color="auto"/>
        <w:right w:val="none" w:sz="0" w:space="0" w:color="auto"/>
      </w:divBdr>
    </w:div>
    <w:div w:id="909998764">
      <w:bodyDiv w:val="1"/>
      <w:marLeft w:val="0"/>
      <w:marRight w:val="0"/>
      <w:marTop w:val="0"/>
      <w:marBottom w:val="0"/>
      <w:divBdr>
        <w:top w:val="none" w:sz="0" w:space="0" w:color="auto"/>
        <w:left w:val="none" w:sz="0" w:space="0" w:color="auto"/>
        <w:bottom w:val="none" w:sz="0" w:space="0" w:color="auto"/>
        <w:right w:val="none" w:sz="0" w:space="0" w:color="auto"/>
      </w:divBdr>
    </w:div>
    <w:div w:id="916133529">
      <w:bodyDiv w:val="1"/>
      <w:marLeft w:val="0"/>
      <w:marRight w:val="0"/>
      <w:marTop w:val="0"/>
      <w:marBottom w:val="0"/>
      <w:divBdr>
        <w:top w:val="none" w:sz="0" w:space="0" w:color="auto"/>
        <w:left w:val="none" w:sz="0" w:space="0" w:color="auto"/>
        <w:bottom w:val="none" w:sz="0" w:space="0" w:color="auto"/>
        <w:right w:val="none" w:sz="0" w:space="0" w:color="auto"/>
      </w:divBdr>
    </w:div>
    <w:div w:id="918490585">
      <w:bodyDiv w:val="1"/>
      <w:marLeft w:val="0"/>
      <w:marRight w:val="0"/>
      <w:marTop w:val="0"/>
      <w:marBottom w:val="0"/>
      <w:divBdr>
        <w:top w:val="none" w:sz="0" w:space="0" w:color="auto"/>
        <w:left w:val="none" w:sz="0" w:space="0" w:color="auto"/>
        <w:bottom w:val="none" w:sz="0" w:space="0" w:color="auto"/>
        <w:right w:val="none" w:sz="0" w:space="0" w:color="auto"/>
      </w:divBdr>
    </w:div>
    <w:div w:id="929772937">
      <w:bodyDiv w:val="1"/>
      <w:marLeft w:val="0"/>
      <w:marRight w:val="0"/>
      <w:marTop w:val="0"/>
      <w:marBottom w:val="0"/>
      <w:divBdr>
        <w:top w:val="none" w:sz="0" w:space="0" w:color="auto"/>
        <w:left w:val="none" w:sz="0" w:space="0" w:color="auto"/>
        <w:bottom w:val="none" w:sz="0" w:space="0" w:color="auto"/>
        <w:right w:val="none" w:sz="0" w:space="0" w:color="auto"/>
      </w:divBdr>
      <w:divsChild>
        <w:div w:id="1271477059">
          <w:marLeft w:val="0"/>
          <w:marRight w:val="0"/>
          <w:marTop w:val="0"/>
          <w:marBottom w:val="0"/>
          <w:divBdr>
            <w:top w:val="none" w:sz="0" w:space="0" w:color="auto"/>
            <w:left w:val="none" w:sz="0" w:space="0" w:color="auto"/>
            <w:bottom w:val="none" w:sz="0" w:space="0" w:color="auto"/>
            <w:right w:val="none" w:sz="0" w:space="0" w:color="auto"/>
          </w:divBdr>
          <w:divsChild>
            <w:div w:id="278605806">
              <w:marLeft w:val="0"/>
              <w:marRight w:val="0"/>
              <w:marTop w:val="0"/>
              <w:marBottom w:val="0"/>
              <w:divBdr>
                <w:top w:val="none" w:sz="0" w:space="0" w:color="auto"/>
                <w:left w:val="none" w:sz="0" w:space="0" w:color="auto"/>
                <w:bottom w:val="none" w:sz="0" w:space="0" w:color="auto"/>
                <w:right w:val="none" w:sz="0" w:space="0" w:color="auto"/>
              </w:divBdr>
              <w:divsChild>
                <w:div w:id="1895385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9874712">
      <w:bodyDiv w:val="1"/>
      <w:marLeft w:val="0"/>
      <w:marRight w:val="0"/>
      <w:marTop w:val="0"/>
      <w:marBottom w:val="0"/>
      <w:divBdr>
        <w:top w:val="none" w:sz="0" w:space="0" w:color="auto"/>
        <w:left w:val="none" w:sz="0" w:space="0" w:color="auto"/>
        <w:bottom w:val="none" w:sz="0" w:space="0" w:color="auto"/>
        <w:right w:val="none" w:sz="0" w:space="0" w:color="auto"/>
      </w:divBdr>
    </w:div>
    <w:div w:id="947083397">
      <w:bodyDiv w:val="1"/>
      <w:marLeft w:val="0"/>
      <w:marRight w:val="0"/>
      <w:marTop w:val="0"/>
      <w:marBottom w:val="0"/>
      <w:divBdr>
        <w:top w:val="none" w:sz="0" w:space="0" w:color="auto"/>
        <w:left w:val="none" w:sz="0" w:space="0" w:color="auto"/>
        <w:bottom w:val="none" w:sz="0" w:space="0" w:color="auto"/>
        <w:right w:val="none" w:sz="0" w:space="0" w:color="auto"/>
      </w:divBdr>
      <w:divsChild>
        <w:div w:id="1724479231">
          <w:marLeft w:val="0"/>
          <w:marRight w:val="0"/>
          <w:marTop w:val="0"/>
          <w:marBottom w:val="0"/>
          <w:divBdr>
            <w:top w:val="none" w:sz="0" w:space="0" w:color="auto"/>
            <w:left w:val="none" w:sz="0" w:space="0" w:color="auto"/>
            <w:bottom w:val="none" w:sz="0" w:space="0" w:color="auto"/>
            <w:right w:val="none" w:sz="0" w:space="0" w:color="auto"/>
          </w:divBdr>
          <w:divsChild>
            <w:div w:id="1141533493">
              <w:marLeft w:val="0"/>
              <w:marRight w:val="0"/>
              <w:marTop w:val="0"/>
              <w:marBottom w:val="0"/>
              <w:divBdr>
                <w:top w:val="none" w:sz="0" w:space="0" w:color="auto"/>
                <w:left w:val="none" w:sz="0" w:space="0" w:color="auto"/>
                <w:bottom w:val="none" w:sz="0" w:space="0" w:color="auto"/>
                <w:right w:val="none" w:sz="0" w:space="0" w:color="auto"/>
              </w:divBdr>
              <w:divsChild>
                <w:div w:id="1928877838">
                  <w:marLeft w:val="0"/>
                  <w:marRight w:val="0"/>
                  <w:marTop w:val="0"/>
                  <w:marBottom w:val="0"/>
                  <w:divBdr>
                    <w:top w:val="none" w:sz="0" w:space="0" w:color="auto"/>
                    <w:left w:val="none" w:sz="0" w:space="0" w:color="auto"/>
                    <w:bottom w:val="none" w:sz="0" w:space="0" w:color="auto"/>
                    <w:right w:val="none" w:sz="0" w:space="0" w:color="auto"/>
                  </w:divBdr>
                  <w:divsChild>
                    <w:div w:id="544754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2931035">
      <w:bodyDiv w:val="1"/>
      <w:marLeft w:val="0"/>
      <w:marRight w:val="0"/>
      <w:marTop w:val="0"/>
      <w:marBottom w:val="0"/>
      <w:divBdr>
        <w:top w:val="none" w:sz="0" w:space="0" w:color="auto"/>
        <w:left w:val="none" w:sz="0" w:space="0" w:color="auto"/>
        <w:bottom w:val="none" w:sz="0" w:space="0" w:color="auto"/>
        <w:right w:val="none" w:sz="0" w:space="0" w:color="auto"/>
      </w:divBdr>
      <w:divsChild>
        <w:div w:id="1525900710">
          <w:marLeft w:val="0"/>
          <w:marRight w:val="0"/>
          <w:marTop w:val="0"/>
          <w:marBottom w:val="0"/>
          <w:divBdr>
            <w:top w:val="none" w:sz="0" w:space="0" w:color="auto"/>
            <w:left w:val="none" w:sz="0" w:space="0" w:color="auto"/>
            <w:bottom w:val="none" w:sz="0" w:space="0" w:color="auto"/>
            <w:right w:val="none" w:sz="0" w:space="0" w:color="auto"/>
          </w:divBdr>
          <w:divsChild>
            <w:div w:id="1569151401">
              <w:marLeft w:val="0"/>
              <w:marRight w:val="0"/>
              <w:marTop w:val="0"/>
              <w:marBottom w:val="0"/>
              <w:divBdr>
                <w:top w:val="none" w:sz="0" w:space="0" w:color="auto"/>
                <w:left w:val="none" w:sz="0" w:space="0" w:color="auto"/>
                <w:bottom w:val="none" w:sz="0" w:space="0" w:color="auto"/>
                <w:right w:val="none" w:sz="0" w:space="0" w:color="auto"/>
              </w:divBdr>
              <w:divsChild>
                <w:div w:id="14231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0202281">
      <w:bodyDiv w:val="1"/>
      <w:marLeft w:val="0"/>
      <w:marRight w:val="0"/>
      <w:marTop w:val="0"/>
      <w:marBottom w:val="0"/>
      <w:divBdr>
        <w:top w:val="none" w:sz="0" w:space="0" w:color="auto"/>
        <w:left w:val="none" w:sz="0" w:space="0" w:color="auto"/>
        <w:bottom w:val="none" w:sz="0" w:space="0" w:color="auto"/>
        <w:right w:val="none" w:sz="0" w:space="0" w:color="auto"/>
      </w:divBdr>
      <w:divsChild>
        <w:div w:id="902833513">
          <w:marLeft w:val="0"/>
          <w:marRight w:val="0"/>
          <w:marTop w:val="0"/>
          <w:marBottom w:val="0"/>
          <w:divBdr>
            <w:top w:val="none" w:sz="0" w:space="0" w:color="auto"/>
            <w:left w:val="none" w:sz="0" w:space="0" w:color="auto"/>
            <w:bottom w:val="none" w:sz="0" w:space="0" w:color="auto"/>
            <w:right w:val="none" w:sz="0" w:space="0" w:color="auto"/>
          </w:divBdr>
          <w:divsChild>
            <w:div w:id="169107968">
              <w:marLeft w:val="0"/>
              <w:marRight w:val="0"/>
              <w:marTop w:val="0"/>
              <w:marBottom w:val="0"/>
              <w:divBdr>
                <w:top w:val="none" w:sz="0" w:space="0" w:color="auto"/>
                <w:left w:val="none" w:sz="0" w:space="0" w:color="auto"/>
                <w:bottom w:val="none" w:sz="0" w:space="0" w:color="auto"/>
                <w:right w:val="none" w:sz="0" w:space="0" w:color="auto"/>
              </w:divBdr>
              <w:divsChild>
                <w:div w:id="463355558">
                  <w:marLeft w:val="0"/>
                  <w:marRight w:val="0"/>
                  <w:marTop w:val="0"/>
                  <w:marBottom w:val="0"/>
                  <w:divBdr>
                    <w:top w:val="none" w:sz="0" w:space="0" w:color="auto"/>
                    <w:left w:val="none" w:sz="0" w:space="0" w:color="auto"/>
                    <w:bottom w:val="none" w:sz="0" w:space="0" w:color="auto"/>
                    <w:right w:val="none" w:sz="0" w:space="0" w:color="auto"/>
                  </w:divBdr>
                  <w:divsChild>
                    <w:div w:id="192776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9301777">
      <w:bodyDiv w:val="1"/>
      <w:marLeft w:val="0"/>
      <w:marRight w:val="0"/>
      <w:marTop w:val="0"/>
      <w:marBottom w:val="0"/>
      <w:divBdr>
        <w:top w:val="none" w:sz="0" w:space="0" w:color="auto"/>
        <w:left w:val="none" w:sz="0" w:space="0" w:color="auto"/>
        <w:bottom w:val="none" w:sz="0" w:space="0" w:color="auto"/>
        <w:right w:val="none" w:sz="0" w:space="0" w:color="auto"/>
      </w:divBdr>
      <w:divsChild>
        <w:div w:id="672144554">
          <w:marLeft w:val="0"/>
          <w:marRight w:val="0"/>
          <w:marTop w:val="0"/>
          <w:marBottom w:val="0"/>
          <w:divBdr>
            <w:top w:val="none" w:sz="0" w:space="0" w:color="auto"/>
            <w:left w:val="none" w:sz="0" w:space="0" w:color="auto"/>
            <w:bottom w:val="none" w:sz="0" w:space="0" w:color="auto"/>
            <w:right w:val="none" w:sz="0" w:space="0" w:color="auto"/>
          </w:divBdr>
          <w:divsChild>
            <w:div w:id="1960720569">
              <w:marLeft w:val="0"/>
              <w:marRight w:val="0"/>
              <w:marTop w:val="0"/>
              <w:marBottom w:val="0"/>
              <w:divBdr>
                <w:top w:val="none" w:sz="0" w:space="0" w:color="auto"/>
                <w:left w:val="none" w:sz="0" w:space="0" w:color="auto"/>
                <w:bottom w:val="none" w:sz="0" w:space="0" w:color="auto"/>
                <w:right w:val="none" w:sz="0" w:space="0" w:color="auto"/>
              </w:divBdr>
              <w:divsChild>
                <w:div w:id="467743734">
                  <w:marLeft w:val="0"/>
                  <w:marRight w:val="0"/>
                  <w:marTop w:val="0"/>
                  <w:marBottom w:val="0"/>
                  <w:divBdr>
                    <w:top w:val="none" w:sz="0" w:space="0" w:color="auto"/>
                    <w:left w:val="none" w:sz="0" w:space="0" w:color="auto"/>
                    <w:bottom w:val="none" w:sz="0" w:space="0" w:color="auto"/>
                    <w:right w:val="none" w:sz="0" w:space="0" w:color="auto"/>
                  </w:divBdr>
                  <w:divsChild>
                    <w:div w:id="631447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9494134">
      <w:bodyDiv w:val="1"/>
      <w:marLeft w:val="0"/>
      <w:marRight w:val="0"/>
      <w:marTop w:val="0"/>
      <w:marBottom w:val="0"/>
      <w:divBdr>
        <w:top w:val="none" w:sz="0" w:space="0" w:color="auto"/>
        <w:left w:val="none" w:sz="0" w:space="0" w:color="auto"/>
        <w:bottom w:val="none" w:sz="0" w:space="0" w:color="auto"/>
        <w:right w:val="none" w:sz="0" w:space="0" w:color="auto"/>
      </w:divBdr>
    </w:div>
    <w:div w:id="1097793911">
      <w:bodyDiv w:val="1"/>
      <w:marLeft w:val="0"/>
      <w:marRight w:val="0"/>
      <w:marTop w:val="0"/>
      <w:marBottom w:val="0"/>
      <w:divBdr>
        <w:top w:val="none" w:sz="0" w:space="0" w:color="auto"/>
        <w:left w:val="none" w:sz="0" w:space="0" w:color="auto"/>
        <w:bottom w:val="none" w:sz="0" w:space="0" w:color="auto"/>
        <w:right w:val="none" w:sz="0" w:space="0" w:color="auto"/>
      </w:divBdr>
      <w:divsChild>
        <w:div w:id="1927569747">
          <w:marLeft w:val="0"/>
          <w:marRight w:val="0"/>
          <w:marTop w:val="0"/>
          <w:marBottom w:val="0"/>
          <w:divBdr>
            <w:top w:val="none" w:sz="0" w:space="0" w:color="auto"/>
            <w:left w:val="none" w:sz="0" w:space="0" w:color="auto"/>
            <w:bottom w:val="none" w:sz="0" w:space="0" w:color="auto"/>
            <w:right w:val="none" w:sz="0" w:space="0" w:color="auto"/>
          </w:divBdr>
          <w:divsChild>
            <w:div w:id="1257790383">
              <w:marLeft w:val="0"/>
              <w:marRight w:val="0"/>
              <w:marTop w:val="0"/>
              <w:marBottom w:val="0"/>
              <w:divBdr>
                <w:top w:val="none" w:sz="0" w:space="0" w:color="auto"/>
                <w:left w:val="none" w:sz="0" w:space="0" w:color="auto"/>
                <w:bottom w:val="none" w:sz="0" w:space="0" w:color="auto"/>
                <w:right w:val="none" w:sz="0" w:space="0" w:color="auto"/>
              </w:divBdr>
              <w:divsChild>
                <w:div w:id="1629386949">
                  <w:marLeft w:val="0"/>
                  <w:marRight w:val="0"/>
                  <w:marTop w:val="0"/>
                  <w:marBottom w:val="0"/>
                  <w:divBdr>
                    <w:top w:val="none" w:sz="0" w:space="0" w:color="auto"/>
                    <w:left w:val="none" w:sz="0" w:space="0" w:color="auto"/>
                    <w:bottom w:val="none" w:sz="0" w:space="0" w:color="auto"/>
                    <w:right w:val="none" w:sz="0" w:space="0" w:color="auto"/>
                  </w:divBdr>
                  <w:divsChild>
                    <w:div w:id="176772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9163050">
      <w:bodyDiv w:val="1"/>
      <w:marLeft w:val="0"/>
      <w:marRight w:val="0"/>
      <w:marTop w:val="0"/>
      <w:marBottom w:val="0"/>
      <w:divBdr>
        <w:top w:val="none" w:sz="0" w:space="0" w:color="auto"/>
        <w:left w:val="none" w:sz="0" w:space="0" w:color="auto"/>
        <w:bottom w:val="none" w:sz="0" w:space="0" w:color="auto"/>
        <w:right w:val="none" w:sz="0" w:space="0" w:color="auto"/>
      </w:divBdr>
      <w:divsChild>
        <w:div w:id="1642420348">
          <w:marLeft w:val="0"/>
          <w:marRight w:val="0"/>
          <w:marTop w:val="0"/>
          <w:marBottom w:val="0"/>
          <w:divBdr>
            <w:top w:val="none" w:sz="0" w:space="0" w:color="auto"/>
            <w:left w:val="none" w:sz="0" w:space="0" w:color="auto"/>
            <w:bottom w:val="none" w:sz="0" w:space="0" w:color="auto"/>
            <w:right w:val="none" w:sz="0" w:space="0" w:color="auto"/>
          </w:divBdr>
          <w:divsChild>
            <w:div w:id="1842503339">
              <w:marLeft w:val="0"/>
              <w:marRight w:val="0"/>
              <w:marTop w:val="0"/>
              <w:marBottom w:val="0"/>
              <w:divBdr>
                <w:top w:val="none" w:sz="0" w:space="0" w:color="auto"/>
                <w:left w:val="none" w:sz="0" w:space="0" w:color="auto"/>
                <w:bottom w:val="none" w:sz="0" w:space="0" w:color="auto"/>
                <w:right w:val="none" w:sz="0" w:space="0" w:color="auto"/>
              </w:divBdr>
              <w:divsChild>
                <w:div w:id="154690920">
                  <w:marLeft w:val="0"/>
                  <w:marRight w:val="0"/>
                  <w:marTop w:val="0"/>
                  <w:marBottom w:val="0"/>
                  <w:divBdr>
                    <w:top w:val="none" w:sz="0" w:space="0" w:color="auto"/>
                    <w:left w:val="none" w:sz="0" w:space="0" w:color="auto"/>
                    <w:bottom w:val="none" w:sz="0" w:space="0" w:color="auto"/>
                    <w:right w:val="none" w:sz="0" w:space="0" w:color="auto"/>
                  </w:divBdr>
                  <w:divsChild>
                    <w:div w:id="488979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5272618">
      <w:bodyDiv w:val="1"/>
      <w:marLeft w:val="0"/>
      <w:marRight w:val="0"/>
      <w:marTop w:val="0"/>
      <w:marBottom w:val="0"/>
      <w:divBdr>
        <w:top w:val="none" w:sz="0" w:space="0" w:color="auto"/>
        <w:left w:val="none" w:sz="0" w:space="0" w:color="auto"/>
        <w:bottom w:val="none" w:sz="0" w:space="0" w:color="auto"/>
        <w:right w:val="none" w:sz="0" w:space="0" w:color="auto"/>
      </w:divBdr>
      <w:divsChild>
        <w:div w:id="1590502337">
          <w:marLeft w:val="0"/>
          <w:marRight w:val="0"/>
          <w:marTop w:val="0"/>
          <w:marBottom w:val="0"/>
          <w:divBdr>
            <w:top w:val="none" w:sz="0" w:space="0" w:color="auto"/>
            <w:left w:val="none" w:sz="0" w:space="0" w:color="auto"/>
            <w:bottom w:val="none" w:sz="0" w:space="0" w:color="auto"/>
            <w:right w:val="none" w:sz="0" w:space="0" w:color="auto"/>
          </w:divBdr>
          <w:divsChild>
            <w:div w:id="160777934">
              <w:marLeft w:val="0"/>
              <w:marRight w:val="0"/>
              <w:marTop w:val="0"/>
              <w:marBottom w:val="0"/>
              <w:divBdr>
                <w:top w:val="none" w:sz="0" w:space="0" w:color="auto"/>
                <w:left w:val="none" w:sz="0" w:space="0" w:color="auto"/>
                <w:bottom w:val="none" w:sz="0" w:space="0" w:color="auto"/>
                <w:right w:val="none" w:sz="0" w:space="0" w:color="auto"/>
              </w:divBdr>
              <w:divsChild>
                <w:div w:id="1819423130">
                  <w:marLeft w:val="0"/>
                  <w:marRight w:val="0"/>
                  <w:marTop w:val="0"/>
                  <w:marBottom w:val="0"/>
                  <w:divBdr>
                    <w:top w:val="none" w:sz="0" w:space="0" w:color="auto"/>
                    <w:left w:val="none" w:sz="0" w:space="0" w:color="auto"/>
                    <w:bottom w:val="none" w:sz="0" w:space="0" w:color="auto"/>
                    <w:right w:val="none" w:sz="0" w:space="0" w:color="auto"/>
                  </w:divBdr>
                  <w:divsChild>
                    <w:div w:id="1851413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357283">
      <w:bodyDiv w:val="1"/>
      <w:marLeft w:val="0"/>
      <w:marRight w:val="0"/>
      <w:marTop w:val="0"/>
      <w:marBottom w:val="0"/>
      <w:divBdr>
        <w:top w:val="none" w:sz="0" w:space="0" w:color="auto"/>
        <w:left w:val="none" w:sz="0" w:space="0" w:color="auto"/>
        <w:bottom w:val="none" w:sz="0" w:space="0" w:color="auto"/>
        <w:right w:val="none" w:sz="0" w:space="0" w:color="auto"/>
      </w:divBdr>
      <w:divsChild>
        <w:div w:id="911046793">
          <w:marLeft w:val="0"/>
          <w:marRight w:val="0"/>
          <w:marTop w:val="0"/>
          <w:marBottom w:val="0"/>
          <w:divBdr>
            <w:top w:val="none" w:sz="0" w:space="0" w:color="auto"/>
            <w:left w:val="none" w:sz="0" w:space="0" w:color="auto"/>
            <w:bottom w:val="none" w:sz="0" w:space="0" w:color="auto"/>
            <w:right w:val="none" w:sz="0" w:space="0" w:color="auto"/>
          </w:divBdr>
          <w:divsChild>
            <w:div w:id="1869490000">
              <w:marLeft w:val="0"/>
              <w:marRight w:val="0"/>
              <w:marTop w:val="0"/>
              <w:marBottom w:val="0"/>
              <w:divBdr>
                <w:top w:val="none" w:sz="0" w:space="0" w:color="auto"/>
                <w:left w:val="none" w:sz="0" w:space="0" w:color="auto"/>
                <w:bottom w:val="none" w:sz="0" w:space="0" w:color="auto"/>
                <w:right w:val="none" w:sz="0" w:space="0" w:color="auto"/>
              </w:divBdr>
              <w:divsChild>
                <w:div w:id="1344164983">
                  <w:marLeft w:val="0"/>
                  <w:marRight w:val="0"/>
                  <w:marTop w:val="0"/>
                  <w:marBottom w:val="0"/>
                  <w:divBdr>
                    <w:top w:val="none" w:sz="0" w:space="0" w:color="auto"/>
                    <w:left w:val="none" w:sz="0" w:space="0" w:color="auto"/>
                    <w:bottom w:val="none" w:sz="0" w:space="0" w:color="auto"/>
                    <w:right w:val="none" w:sz="0" w:space="0" w:color="auto"/>
                  </w:divBdr>
                  <w:divsChild>
                    <w:div w:id="14794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8746493">
      <w:bodyDiv w:val="1"/>
      <w:marLeft w:val="0"/>
      <w:marRight w:val="0"/>
      <w:marTop w:val="0"/>
      <w:marBottom w:val="0"/>
      <w:divBdr>
        <w:top w:val="none" w:sz="0" w:space="0" w:color="auto"/>
        <w:left w:val="none" w:sz="0" w:space="0" w:color="auto"/>
        <w:bottom w:val="none" w:sz="0" w:space="0" w:color="auto"/>
        <w:right w:val="none" w:sz="0" w:space="0" w:color="auto"/>
      </w:divBdr>
      <w:divsChild>
        <w:div w:id="1082724532">
          <w:marLeft w:val="0"/>
          <w:marRight w:val="0"/>
          <w:marTop w:val="0"/>
          <w:marBottom w:val="0"/>
          <w:divBdr>
            <w:top w:val="none" w:sz="0" w:space="0" w:color="auto"/>
            <w:left w:val="none" w:sz="0" w:space="0" w:color="auto"/>
            <w:bottom w:val="none" w:sz="0" w:space="0" w:color="auto"/>
            <w:right w:val="none" w:sz="0" w:space="0" w:color="auto"/>
          </w:divBdr>
          <w:divsChild>
            <w:div w:id="721901412">
              <w:marLeft w:val="0"/>
              <w:marRight w:val="0"/>
              <w:marTop w:val="0"/>
              <w:marBottom w:val="0"/>
              <w:divBdr>
                <w:top w:val="none" w:sz="0" w:space="0" w:color="auto"/>
                <w:left w:val="none" w:sz="0" w:space="0" w:color="auto"/>
                <w:bottom w:val="none" w:sz="0" w:space="0" w:color="auto"/>
                <w:right w:val="none" w:sz="0" w:space="0" w:color="auto"/>
              </w:divBdr>
              <w:divsChild>
                <w:div w:id="758217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9370623">
      <w:bodyDiv w:val="1"/>
      <w:marLeft w:val="0"/>
      <w:marRight w:val="0"/>
      <w:marTop w:val="0"/>
      <w:marBottom w:val="0"/>
      <w:divBdr>
        <w:top w:val="none" w:sz="0" w:space="0" w:color="auto"/>
        <w:left w:val="none" w:sz="0" w:space="0" w:color="auto"/>
        <w:bottom w:val="none" w:sz="0" w:space="0" w:color="auto"/>
        <w:right w:val="none" w:sz="0" w:space="0" w:color="auto"/>
      </w:divBdr>
    </w:div>
    <w:div w:id="1203329654">
      <w:bodyDiv w:val="1"/>
      <w:marLeft w:val="0"/>
      <w:marRight w:val="0"/>
      <w:marTop w:val="0"/>
      <w:marBottom w:val="0"/>
      <w:divBdr>
        <w:top w:val="none" w:sz="0" w:space="0" w:color="auto"/>
        <w:left w:val="none" w:sz="0" w:space="0" w:color="auto"/>
        <w:bottom w:val="none" w:sz="0" w:space="0" w:color="auto"/>
        <w:right w:val="none" w:sz="0" w:space="0" w:color="auto"/>
      </w:divBdr>
      <w:divsChild>
        <w:div w:id="1660227413">
          <w:marLeft w:val="0"/>
          <w:marRight w:val="0"/>
          <w:marTop w:val="0"/>
          <w:marBottom w:val="0"/>
          <w:divBdr>
            <w:top w:val="none" w:sz="0" w:space="0" w:color="auto"/>
            <w:left w:val="none" w:sz="0" w:space="0" w:color="auto"/>
            <w:bottom w:val="none" w:sz="0" w:space="0" w:color="auto"/>
            <w:right w:val="none" w:sz="0" w:space="0" w:color="auto"/>
          </w:divBdr>
          <w:divsChild>
            <w:div w:id="796021194">
              <w:marLeft w:val="0"/>
              <w:marRight w:val="0"/>
              <w:marTop w:val="0"/>
              <w:marBottom w:val="0"/>
              <w:divBdr>
                <w:top w:val="none" w:sz="0" w:space="0" w:color="auto"/>
                <w:left w:val="none" w:sz="0" w:space="0" w:color="auto"/>
                <w:bottom w:val="none" w:sz="0" w:space="0" w:color="auto"/>
                <w:right w:val="none" w:sz="0" w:space="0" w:color="auto"/>
              </w:divBdr>
              <w:divsChild>
                <w:div w:id="1530725217">
                  <w:marLeft w:val="0"/>
                  <w:marRight w:val="0"/>
                  <w:marTop w:val="0"/>
                  <w:marBottom w:val="0"/>
                  <w:divBdr>
                    <w:top w:val="none" w:sz="0" w:space="0" w:color="auto"/>
                    <w:left w:val="none" w:sz="0" w:space="0" w:color="auto"/>
                    <w:bottom w:val="none" w:sz="0" w:space="0" w:color="auto"/>
                    <w:right w:val="none" w:sz="0" w:space="0" w:color="auto"/>
                  </w:divBdr>
                  <w:divsChild>
                    <w:div w:id="159200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7714211">
      <w:bodyDiv w:val="1"/>
      <w:marLeft w:val="0"/>
      <w:marRight w:val="0"/>
      <w:marTop w:val="0"/>
      <w:marBottom w:val="0"/>
      <w:divBdr>
        <w:top w:val="none" w:sz="0" w:space="0" w:color="auto"/>
        <w:left w:val="none" w:sz="0" w:space="0" w:color="auto"/>
        <w:bottom w:val="none" w:sz="0" w:space="0" w:color="auto"/>
        <w:right w:val="none" w:sz="0" w:space="0" w:color="auto"/>
      </w:divBdr>
      <w:divsChild>
        <w:div w:id="537820764">
          <w:marLeft w:val="0"/>
          <w:marRight w:val="0"/>
          <w:marTop w:val="0"/>
          <w:marBottom w:val="0"/>
          <w:divBdr>
            <w:top w:val="none" w:sz="0" w:space="0" w:color="auto"/>
            <w:left w:val="none" w:sz="0" w:space="0" w:color="auto"/>
            <w:bottom w:val="none" w:sz="0" w:space="0" w:color="auto"/>
            <w:right w:val="none" w:sz="0" w:space="0" w:color="auto"/>
          </w:divBdr>
          <w:divsChild>
            <w:div w:id="1828206720">
              <w:marLeft w:val="0"/>
              <w:marRight w:val="0"/>
              <w:marTop w:val="0"/>
              <w:marBottom w:val="0"/>
              <w:divBdr>
                <w:top w:val="none" w:sz="0" w:space="0" w:color="auto"/>
                <w:left w:val="none" w:sz="0" w:space="0" w:color="auto"/>
                <w:bottom w:val="none" w:sz="0" w:space="0" w:color="auto"/>
                <w:right w:val="none" w:sz="0" w:space="0" w:color="auto"/>
              </w:divBdr>
              <w:divsChild>
                <w:div w:id="180823636">
                  <w:marLeft w:val="0"/>
                  <w:marRight w:val="0"/>
                  <w:marTop w:val="0"/>
                  <w:marBottom w:val="0"/>
                  <w:divBdr>
                    <w:top w:val="none" w:sz="0" w:space="0" w:color="auto"/>
                    <w:left w:val="none" w:sz="0" w:space="0" w:color="auto"/>
                    <w:bottom w:val="none" w:sz="0" w:space="0" w:color="auto"/>
                    <w:right w:val="none" w:sz="0" w:space="0" w:color="auto"/>
                  </w:divBdr>
                  <w:divsChild>
                    <w:div w:id="100698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8932379">
      <w:bodyDiv w:val="1"/>
      <w:marLeft w:val="0"/>
      <w:marRight w:val="0"/>
      <w:marTop w:val="0"/>
      <w:marBottom w:val="0"/>
      <w:divBdr>
        <w:top w:val="none" w:sz="0" w:space="0" w:color="auto"/>
        <w:left w:val="none" w:sz="0" w:space="0" w:color="auto"/>
        <w:bottom w:val="none" w:sz="0" w:space="0" w:color="auto"/>
        <w:right w:val="none" w:sz="0" w:space="0" w:color="auto"/>
      </w:divBdr>
      <w:divsChild>
        <w:div w:id="1231115307">
          <w:marLeft w:val="0"/>
          <w:marRight w:val="0"/>
          <w:marTop w:val="0"/>
          <w:marBottom w:val="0"/>
          <w:divBdr>
            <w:top w:val="none" w:sz="0" w:space="0" w:color="auto"/>
            <w:left w:val="none" w:sz="0" w:space="0" w:color="auto"/>
            <w:bottom w:val="none" w:sz="0" w:space="0" w:color="auto"/>
            <w:right w:val="none" w:sz="0" w:space="0" w:color="auto"/>
          </w:divBdr>
        </w:div>
        <w:div w:id="401489575">
          <w:marLeft w:val="0"/>
          <w:marRight w:val="0"/>
          <w:marTop w:val="0"/>
          <w:marBottom w:val="0"/>
          <w:divBdr>
            <w:top w:val="none" w:sz="0" w:space="0" w:color="auto"/>
            <w:left w:val="none" w:sz="0" w:space="0" w:color="auto"/>
            <w:bottom w:val="none" w:sz="0" w:space="0" w:color="auto"/>
            <w:right w:val="none" w:sz="0" w:space="0" w:color="auto"/>
          </w:divBdr>
        </w:div>
        <w:div w:id="494226185">
          <w:marLeft w:val="0"/>
          <w:marRight w:val="0"/>
          <w:marTop w:val="0"/>
          <w:marBottom w:val="0"/>
          <w:divBdr>
            <w:top w:val="none" w:sz="0" w:space="0" w:color="auto"/>
            <w:left w:val="none" w:sz="0" w:space="0" w:color="auto"/>
            <w:bottom w:val="none" w:sz="0" w:space="0" w:color="auto"/>
            <w:right w:val="none" w:sz="0" w:space="0" w:color="auto"/>
          </w:divBdr>
        </w:div>
      </w:divsChild>
    </w:div>
    <w:div w:id="1219240224">
      <w:bodyDiv w:val="1"/>
      <w:marLeft w:val="0"/>
      <w:marRight w:val="0"/>
      <w:marTop w:val="0"/>
      <w:marBottom w:val="0"/>
      <w:divBdr>
        <w:top w:val="none" w:sz="0" w:space="0" w:color="auto"/>
        <w:left w:val="none" w:sz="0" w:space="0" w:color="auto"/>
        <w:bottom w:val="none" w:sz="0" w:space="0" w:color="auto"/>
        <w:right w:val="none" w:sz="0" w:space="0" w:color="auto"/>
      </w:divBdr>
      <w:divsChild>
        <w:div w:id="1595625112">
          <w:marLeft w:val="0"/>
          <w:marRight w:val="0"/>
          <w:marTop w:val="0"/>
          <w:marBottom w:val="0"/>
          <w:divBdr>
            <w:top w:val="none" w:sz="0" w:space="0" w:color="auto"/>
            <w:left w:val="none" w:sz="0" w:space="0" w:color="auto"/>
            <w:bottom w:val="none" w:sz="0" w:space="0" w:color="auto"/>
            <w:right w:val="none" w:sz="0" w:space="0" w:color="auto"/>
          </w:divBdr>
          <w:divsChild>
            <w:div w:id="1518083884">
              <w:marLeft w:val="0"/>
              <w:marRight w:val="0"/>
              <w:marTop w:val="0"/>
              <w:marBottom w:val="0"/>
              <w:divBdr>
                <w:top w:val="none" w:sz="0" w:space="0" w:color="auto"/>
                <w:left w:val="none" w:sz="0" w:space="0" w:color="auto"/>
                <w:bottom w:val="none" w:sz="0" w:space="0" w:color="auto"/>
                <w:right w:val="none" w:sz="0" w:space="0" w:color="auto"/>
              </w:divBdr>
              <w:divsChild>
                <w:div w:id="776221105">
                  <w:marLeft w:val="0"/>
                  <w:marRight w:val="0"/>
                  <w:marTop w:val="0"/>
                  <w:marBottom w:val="0"/>
                  <w:divBdr>
                    <w:top w:val="none" w:sz="0" w:space="0" w:color="auto"/>
                    <w:left w:val="none" w:sz="0" w:space="0" w:color="auto"/>
                    <w:bottom w:val="none" w:sz="0" w:space="0" w:color="auto"/>
                    <w:right w:val="none" w:sz="0" w:space="0" w:color="auto"/>
                  </w:divBdr>
                  <w:divsChild>
                    <w:div w:id="795876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5703773">
      <w:bodyDiv w:val="1"/>
      <w:marLeft w:val="0"/>
      <w:marRight w:val="0"/>
      <w:marTop w:val="0"/>
      <w:marBottom w:val="0"/>
      <w:divBdr>
        <w:top w:val="none" w:sz="0" w:space="0" w:color="auto"/>
        <w:left w:val="none" w:sz="0" w:space="0" w:color="auto"/>
        <w:bottom w:val="none" w:sz="0" w:space="0" w:color="auto"/>
        <w:right w:val="none" w:sz="0" w:space="0" w:color="auto"/>
      </w:divBdr>
      <w:divsChild>
        <w:div w:id="956640281">
          <w:marLeft w:val="0"/>
          <w:marRight w:val="0"/>
          <w:marTop w:val="0"/>
          <w:marBottom w:val="0"/>
          <w:divBdr>
            <w:top w:val="none" w:sz="0" w:space="0" w:color="auto"/>
            <w:left w:val="none" w:sz="0" w:space="0" w:color="auto"/>
            <w:bottom w:val="none" w:sz="0" w:space="0" w:color="auto"/>
            <w:right w:val="none" w:sz="0" w:space="0" w:color="auto"/>
          </w:divBdr>
          <w:divsChild>
            <w:div w:id="610015956">
              <w:marLeft w:val="0"/>
              <w:marRight w:val="0"/>
              <w:marTop w:val="0"/>
              <w:marBottom w:val="0"/>
              <w:divBdr>
                <w:top w:val="none" w:sz="0" w:space="0" w:color="auto"/>
                <w:left w:val="none" w:sz="0" w:space="0" w:color="auto"/>
                <w:bottom w:val="none" w:sz="0" w:space="0" w:color="auto"/>
                <w:right w:val="none" w:sz="0" w:space="0" w:color="auto"/>
              </w:divBdr>
              <w:divsChild>
                <w:div w:id="1993825160">
                  <w:marLeft w:val="0"/>
                  <w:marRight w:val="0"/>
                  <w:marTop w:val="0"/>
                  <w:marBottom w:val="0"/>
                  <w:divBdr>
                    <w:top w:val="none" w:sz="0" w:space="0" w:color="auto"/>
                    <w:left w:val="none" w:sz="0" w:space="0" w:color="auto"/>
                    <w:bottom w:val="none" w:sz="0" w:space="0" w:color="auto"/>
                    <w:right w:val="none" w:sz="0" w:space="0" w:color="auto"/>
                  </w:divBdr>
                  <w:divsChild>
                    <w:div w:id="168524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0095280">
      <w:bodyDiv w:val="1"/>
      <w:marLeft w:val="0"/>
      <w:marRight w:val="0"/>
      <w:marTop w:val="0"/>
      <w:marBottom w:val="0"/>
      <w:divBdr>
        <w:top w:val="none" w:sz="0" w:space="0" w:color="auto"/>
        <w:left w:val="none" w:sz="0" w:space="0" w:color="auto"/>
        <w:bottom w:val="none" w:sz="0" w:space="0" w:color="auto"/>
        <w:right w:val="none" w:sz="0" w:space="0" w:color="auto"/>
      </w:divBdr>
      <w:divsChild>
        <w:div w:id="20127801">
          <w:marLeft w:val="0"/>
          <w:marRight w:val="0"/>
          <w:marTop w:val="0"/>
          <w:marBottom w:val="0"/>
          <w:divBdr>
            <w:top w:val="none" w:sz="0" w:space="0" w:color="auto"/>
            <w:left w:val="none" w:sz="0" w:space="0" w:color="auto"/>
            <w:bottom w:val="none" w:sz="0" w:space="0" w:color="auto"/>
            <w:right w:val="none" w:sz="0" w:space="0" w:color="auto"/>
          </w:divBdr>
          <w:divsChild>
            <w:div w:id="680819604">
              <w:marLeft w:val="0"/>
              <w:marRight w:val="0"/>
              <w:marTop w:val="0"/>
              <w:marBottom w:val="0"/>
              <w:divBdr>
                <w:top w:val="none" w:sz="0" w:space="0" w:color="auto"/>
                <w:left w:val="none" w:sz="0" w:space="0" w:color="auto"/>
                <w:bottom w:val="none" w:sz="0" w:space="0" w:color="auto"/>
                <w:right w:val="none" w:sz="0" w:space="0" w:color="auto"/>
              </w:divBdr>
              <w:divsChild>
                <w:div w:id="1314598039">
                  <w:marLeft w:val="0"/>
                  <w:marRight w:val="0"/>
                  <w:marTop w:val="0"/>
                  <w:marBottom w:val="0"/>
                  <w:divBdr>
                    <w:top w:val="none" w:sz="0" w:space="0" w:color="auto"/>
                    <w:left w:val="none" w:sz="0" w:space="0" w:color="auto"/>
                    <w:bottom w:val="none" w:sz="0" w:space="0" w:color="auto"/>
                    <w:right w:val="none" w:sz="0" w:space="0" w:color="auto"/>
                  </w:divBdr>
                  <w:divsChild>
                    <w:div w:id="178874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1085085">
      <w:bodyDiv w:val="1"/>
      <w:marLeft w:val="0"/>
      <w:marRight w:val="0"/>
      <w:marTop w:val="0"/>
      <w:marBottom w:val="0"/>
      <w:divBdr>
        <w:top w:val="none" w:sz="0" w:space="0" w:color="auto"/>
        <w:left w:val="none" w:sz="0" w:space="0" w:color="auto"/>
        <w:bottom w:val="none" w:sz="0" w:space="0" w:color="auto"/>
        <w:right w:val="none" w:sz="0" w:space="0" w:color="auto"/>
      </w:divBdr>
    </w:div>
    <w:div w:id="1271552689">
      <w:bodyDiv w:val="1"/>
      <w:marLeft w:val="0"/>
      <w:marRight w:val="0"/>
      <w:marTop w:val="0"/>
      <w:marBottom w:val="0"/>
      <w:divBdr>
        <w:top w:val="none" w:sz="0" w:space="0" w:color="auto"/>
        <w:left w:val="none" w:sz="0" w:space="0" w:color="auto"/>
        <w:bottom w:val="none" w:sz="0" w:space="0" w:color="auto"/>
        <w:right w:val="none" w:sz="0" w:space="0" w:color="auto"/>
      </w:divBdr>
      <w:divsChild>
        <w:div w:id="1097793855">
          <w:marLeft w:val="0"/>
          <w:marRight w:val="0"/>
          <w:marTop w:val="0"/>
          <w:marBottom w:val="0"/>
          <w:divBdr>
            <w:top w:val="none" w:sz="0" w:space="0" w:color="auto"/>
            <w:left w:val="none" w:sz="0" w:space="0" w:color="auto"/>
            <w:bottom w:val="none" w:sz="0" w:space="0" w:color="auto"/>
            <w:right w:val="none" w:sz="0" w:space="0" w:color="auto"/>
          </w:divBdr>
          <w:divsChild>
            <w:div w:id="1206064264">
              <w:marLeft w:val="0"/>
              <w:marRight w:val="0"/>
              <w:marTop w:val="0"/>
              <w:marBottom w:val="0"/>
              <w:divBdr>
                <w:top w:val="none" w:sz="0" w:space="0" w:color="auto"/>
                <w:left w:val="none" w:sz="0" w:space="0" w:color="auto"/>
                <w:bottom w:val="none" w:sz="0" w:space="0" w:color="auto"/>
                <w:right w:val="none" w:sz="0" w:space="0" w:color="auto"/>
              </w:divBdr>
              <w:divsChild>
                <w:div w:id="1506166334">
                  <w:marLeft w:val="0"/>
                  <w:marRight w:val="0"/>
                  <w:marTop w:val="0"/>
                  <w:marBottom w:val="0"/>
                  <w:divBdr>
                    <w:top w:val="none" w:sz="0" w:space="0" w:color="auto"/>
                    <w:left w:val="none" w:sz="0" w:space="0" w:color="auto"/>
                    <w:bottom w:val="none" w:sz="0" w:space="0" w:color="auto"/>
                    <w:right w:val="none" w:sz="0" w:space="0" w:color="auto"/>
                  </w:divBdr>
                  <w:divsChild>
                    <w:div w:id="1672566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0800108">
      <w:bodyDiv w:val="1"/>
      <w:marLeft w:val="0"/>
      <w:marRight w:val="0"/>
      <w:marTop w:val="0"/>
      <w:marBottom w:val="0"/>
      <w:divBdr>
        <w:top w:val="none" w:sz="0" w:space="0" w:color="auto"/>
        <w:left w:val="none" w:sz="0" w:space="0" w:color="auto"/>
        <w:bottom w:val="none" w:sz="0" w:space="0" w:color="auto"/>
        <w:right w:val="none" w:sz="0" w:space="0" w:color="auto"/>
      </w:divBdr>
    </w:div>
    <w:div w:id="1297644807">
      <w:bodyDiv w:val="1"/>
      <w:marLeft w:val="0"/>
      <w:marRight w:val="0"/>
      <w:marTop w:val="0"/>
      <w:marBottom w:val="0"/>
      <w:divBdr>
        <w:top w:val="none" w:sz="0" w:space="0" w:color="auto"/>
        <w:left w:val="none" w:sz="0" w:space="0" w:color="auto"/>
        <w:bottom w:val="none" w:sz="0" w:space="0" w:color="auto"/>
        <w:right w:val="none" w:sz="0" w:space="0" w:color="auto"/>
      </w:divBdr>
      <w:divsChild>
        <w:div w:id="437339960">
          <w:marLeft w:val="0"/>
          <w:marRight w:val="0"/>
          <w:marTop w:val="0"/>
          <w:marBottom w:val="0"/>
          <w:divBdr>
            <w:top w:val="none" w:sz="0" w:space="0" w:color="auto"/>
            <w:left w:val="none" w:sz="0" w:space="0" w:color="auto"/>
            <w:bottom w:val="none" w:sz="0" w:space="0" w:color="auto"/>
            <w:right w:val="none" w:sz="0" w:space="0" w:color="auto"/>
          </w:divBdr>
          <w:divsChild>
            <w:div w:id="262736414">
              <w:marLeft w:val="0"/>
              <w:marRight w:val="0"/>
              <w:marTop w:val="0"/>
              <w:marBottom w:val="0"/>
              <w:divBdr>
                <w:top w:val="none" w:sz="0" w:space="0" w:color="auto"/>
                <w:left w:val="none" w:sz="0" w:space="0" w:color="auto"/>
                <w:bottom w:val="none" w:sz="0" w:space="0" w:color="auto"/>
                <w:right w:val="none" w:sz="0" w:space="0" w:color="auto"/>
              </w:divBdr>
              <w:divsChild>
                <w:div w:id="123158363">
                  <w:marLeft w:val="0"/>
                  <w:marRight w:val="0"/>
                  <w:marTop w:val="0"/>
                  <w:marBottom w:val="0"/>
                  <w:divBdr>
                    <w:top w:val="none" w:sz="0" w:space="0" w:color="auto"/>
                    <w:left w:val="none" w:sz="0" w:space="0" w:color="auto"/>
                    <w:bottom w:val="none" w:sz="0" w:space="0" w:color="auto"/>
                    <w:right w:val="none" w:sz="0" w:space="0" w:color="auto"/>
                  </w:divBdr>
                  <w:divsChild>
                    <w:div w:id="868687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5162030">
      <w:bodyDiv w:val="1"/>
      <w:marLeft w:val="0"/>
      <w:marRight w:val="0"/>
      <w:marTop w:val="0"/>
      <w:marBottom w:val="0"/>
      <w:divBdr>
        <w:top w:val="none" w:sz="0" w:space="0" w:color="auto"/>
        <w:left w:val="none" w:sz="0" w:space="0" w:color="auto"/>
        <w:bottom w:val="none" w:sz="0" w:space="0" w:color="auto"/>
        <w:right w:val="none" w:sz="0" w:space="0" w:color="auto"/>
      </w:divBdr>
      <w:divsChild>
        <w:div w:id="1442338791">
          <w:marLeft w:val="0"/>
          <w:marRight w:val="0"/>
          <w:marTop w:val="0"/>
          <w:marBottom w:val="0"/>
          <w:divBdr>
            <w:top w:val="none" w:sz="0" w:space="0" w:color="auto"/>
            <w:left w:val="none" w:sz="0" w:space="0" w:color="auto"/>
            <w:bottom w:val="none" w:sz="0" w:space="0" w:color="auto"/>
            <w:right w:val="none" w:sz="0" w:space="0" w:color="auto"/>
          </w:divBdr>
          <w:divsChild>
            <w:div w:id="1326855564">
              <w:marLeft w:val="0"/>
              <w:marRight w:val="0"/>
              <w:marTop w:val="0"/>
              <w:marBottom w:val="0"/>
              <w:divBdr>
                <w:top w:val="none" w:sz="0" w:space="0" w:color="auto"/>
                <w:left w:val="none" w:sz="0" w:space="0" w:color="auto"/>
                <w:bottom w:val="none" w:sz="0" w:space="0" w:color="auto"/>
                <w:right w:val="none" w:sz="0" w:space="0" w:color="auto"/>
              </w:divBdr>
              <w:divsChild>
                <w:div w:id="1464813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5596457">
      <w:bodyDiv w:val="1"/>
      <w:marLeft w:val="0"/>
      <w:marRight w:val="0"/>
      <w:marTop w:val="0"/>
      <w:marBottom w:val="0"/>
      <w:divBdr>
        <w:top w:val="none" w:sz="0" w:space="0" w:color="auto"/>
        <w:left w:val="none" w:sz="0" w:space="0" w:color="auto"/>
        <w:bottom w:val="none" w:sz="0" w:space="0" w:color="auto"/>
        <w:right w:val="none" w:sz="0" w:space="0" w:color="auto"/>
      </w:divBdr>
      <w:divsChild>
        <w:div w:id="654190026">
          <w:marLeft w:val="0"/>
          <w:marRight w:val="0"/>
          <w:marTop w:val="0"/>
          <w:marBottom w:val="0"/>
          <w:divBdr>
            <w:top w:val="none" w:sz="0" w:space="0" w:color="auto"/>
            <w:left w:val="none" w:sz="0" w:space="0" w:color="auto"/>
            <w:bottom w:val="none" w:sz="0" w:space="0" w:color="auto"/>
            <w:right w:val="none" w:sz="0" w:space="0" w:color="auto"/>
          </w:divBdr>
          <w:divsChild>
            <w:div w:id="626663804">
              <w:marLeft w:val="0"/>
              <w:marRight w:val="0"/>
              <w:marTop w:val="0"/>
              <w:marBottom w:val="0"/>
              <w:divBdr>
                <w:top w:val="none" w:sz="0" w:space="0" w:color="auto"/>
                <w:left w:val="none" w:sz="0" w:space="0" w:color="auto"/>
                <w:bottom w:val="none" w:sz="0" w:space="0" w:color="auto"/>
                <w:right w:val="none" w:sz="0" w:space="0" w:color="auto"/>
              </w:divBdr>
              <w:divsChild>
                <w:div w:id="514921014">
                  <w:marLeft w:val="0"/>
                  <w:marRight w:val="0"/>
                  <w:marTop w:val="0"/>
                  <w:marBottom w:val="0"/>
                  <w:divBdr>
                    <w:top w:val="none" w:sz="0" w:space="0" w:color="auto"/>
                    <w:left w:val="none" w:sz="0" w:space="0" w:color="auto"/>
                    <w:bottom w:val="none" w:sz="0" w:space="0" w:color="auto"/>
                    <w:right w:val="none" w:sz="0" w:space="0" w:color="auto"/>
                  </w:divBdr>
                  <w:divsChild>
                    <w:div w:id="1558469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7052394">
      <w:bodyDiv w:val="1"/>
      <w:marLeft w:val="0"/>
      <w:marRight w:val="0"/>
      <w:marTop w:val="0"/>
      <w:marBottom w:val="0"/>
      <w:divBdr>
        <w:top w:val="none" w:sz="0" w:space="0" w:color="auto"/>
        <w:left w:val="none" w:sz="0" w:space="0" w:color="auto"/>
        <w:bottom w:val="none" w:sz="0" w:space="0" w:color="auto"/>
        <w:right w:val="none" w:sz="0" w:space="0" w:color="auto"/>
      </w:divBdr>
      <w:divsChild>
        <w:div w:id="785781586">
          <w:marLeft w:val="0"/>
          <w:marRight w:val="0"/>
          <w:marTop w:val="0"/>
          <w:marBottom w:val="0"/>
          <w:divBdr>
            <w:top w:val="none" w:sz="0" w:space="0" w:color="auto"/>
            <w:left w:val="none" w:sz="0" w:space="0" w:color="auto"/>
            <w:bottom w:val="none" w:sz="0" w:space="0" w:color="auto"/>
            <w:right w:val="none" w:sz="0" w:space="0" w:color="auto"/>
          </w:divBdr>
          <w:divsChild>
            <w:div w:id="1189177496">
              <w:marLeft w:val="0"/>
              <w:marRight w:val="0"/>
              <w:marTop w:val="0"/>
              <w:marBottom w:val="0"/>
              <w:divBdr>
                <w:top w:val="none" w:sz="0" w:space="0" w:color="auto"/>
                <w:left w:val="none" w:sz="0" w:space="0" w:color="auto"/>
                <w:bottom w:val="none" w:sz="0" w:space="0" w:color="auto"/>
                <w:right w:val="none" w:sz="0" w:space="0" w:color="auto"/>
              </w:divBdr>
              <w:divsChild>
                <w:div w:id="451824363">
                  <w:marLeft w:val="0"/>
                  <w:marRight w:val="0"/>
                  <w:marTop w:val="0"/>
                  <w:marBottom w:val="0"/>
                  <w:divBdr>
                    <w:top w:val="none" w:sz="0" w:space="0" w:color="auto"/>
                    <w:left w:val="none" w:sz="0" w:space="0" w:color="auto"/>
                    <w:bottom w:val="none" w:sz="0" w:space="0" w:color="auto"/>
                    <w:right w:val="none" w:sz="0" w:space="0" w:color="auto"/>
                  </w:divBdr>
                  <w:divsChild>
                    <w:div w:id="487524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9068280">
      <w:bodyDiv w:val="1"/>
      <w:marLeft w:val="0"/>
      <w:marRight w:val="0"/>
      <w:marTop w:val="0"/>
      <w:marBottom w:val="0"/>
      <w:divBdr>
        <w:top w:val="none" w:sz="0" w:space="0" w:color="auto"/>
        <w:left w:val="none" w:sz="0" w:space="0" w:color="auto"/>
        <w:bottom w:val="none" w:sz="0" w:space="0" w:color="auto"/>
        <w:right w:val="none" w:sz="0" w:space="0" w:color="auto"/>
      </w:divBdr>
    </w:div>
    <w:div w:id="1384018932">
      <w:bodyDiv w:val="1"/>
      <w:marLeft w:val="0"/>
      <w:marRight w:val="0"/>
      <w:marTop w:val="0"/>
      <w:marBottom w:val="0"/>
      <w:divBdr>
        <w:top w:val="none" w:sz="0" w:space="0" w:color="auto"/>
        <w:left w:val="none" w:sz="0" w:space="0" w:color="auto"/>
        <w:bottom w:val="none" w:sz="0" w:space="0" w:color="auto"/>
        <w:right w:val="none" w:sz="0" w:space="0" w:color="auto"/>
      </w:divBdr>
    </w:div>
    <w:div w:id="1403209826">
      <w:bodyDiv w:val="1"/>
      <w:marLeft w:val="0"/>
      <w:marRight w:val="0"/>
      <w:marTop w:val="0"/>
      <w:marBottom w:val="0"/>
      <w:divBdr>
        <w:top w:val="none" w:sz="0" w:space="0" w:color="auto"/>
        <w:left w:val="none" w:sz="0" w:space="0" w:color="auto"/>
        <w:bottom w:val="none" w:sz="0" w:space="0" w:color="auto"/>
        <w:right w:val="none" w:sz="0" w:space="0" w:color="auto"/>
      </w:divBdr>
    </w:div>
    <w:div w:id="1415083569">
      <w:bodyDiv w:val="1"/>
      <w:marLeft w:val="0"/>
      <w:marRight w:val="0"/>
      <w:marTop w:val="0"/>
      <w:marBottom w:val="0"/>
      <w:divBdr>
        <w:top w:val="none" w:sz="0" w:space="0" w:color="auto"/>
        <w:left w:val="none" w:sz="0" w:space="0" w:color="auto"/>
        <w:bottom w:val="none" w:sz="0" w:space="0" w:color="auto"/>
        <w:right w:val="none" w:sz="0" w:space="0" w:color="auto"/>
      </w:divBdr>
      <w:divsChild>
        <w:div w:id="1158230944">
          <w:marLeft w:val="0"/>
          <w:marRight w:val="0"/>
          <w:marTop w:val="0"/>
          <w:marBottom w:val="0"/>
          <w:divBdr>
            <w:top w:val="none" w:sz="0" w:space="0" w:color="auto"/>
            <w:left w:val="none" w:sz="0" w:space="0" w:color="auto"/>
            <w:bottom w:val="none" w:sz="0" w:space="0" w:color="auto"/>
            <w:right w:val="none" w:sz="0" w:space="0" w:color="auto"/>
          </w:divBdr>
          <w:divsChild>
            <w:div w:id="671880495">
              <w:marLeft w:val="0"/>
              <w:marRight w:val="0"/>
              <w:marTop w:val="0"/>
              <w:marBottom w:val="0"/>
              <w:divBdr>
                <w:top w:val="none" w:sz="0" w:space="0" w:color="auto"/>
                <w:left w:val="none" w:sz="0" w:space="0" w:color="auto"/>
                <w:bottom w:val="none" w:sz="0" w:space="0" w:color="auto"/>
                <w:right w:val="none" w:sz="0" w:space="0" w:color="auto"/>
              </w:divBdr>
            </w:div>
          </w:divsChild>
        </w:div>
        <w:div w:id="1051347253">
          <w:marLeft w:val="0"/>
          <w:marRight w:val="0"/>
          <w:marTop w:val="0"/>
          <w:marBottom w:val="0"/>
          <w:divBdr>
            <w:top w:val="none" w:sz="0" w:space="0" w:color="auto"/>
            <w:left w:val="none" w:sz="0" w:space="0" w:color="auto"/>
            <w:bottom w:val="none" w:sz="0" w:space="0" w:color="auto"/>
            <w:right w:val="none" w:sz="0" w:space="0" w:color="auto"/>
          </w:divBdr>
          <w:divsChild>
            <w:div w:id="432240680">
              <w:marLeft w:val="0"/>
              <w:marRight w:val="0"/>
              <w:marTop w:val="0"/>
              <w:marBottom w:val="0"/>
              <w:divBdr>
                <w:top w:val="none" w:sz="0" w:space="0" w:color="auto"/>
                <w:left w:val="none" w:sz="0" w:space="0" w:color="auto"/>
                <w:bottom w:val="none" w:sz="0" w:space="0" w:color="auto"/>
                <w:right w:val="none" w:sz="0" w:space="0" w:color="auto"/>
              </w:divBdr>
            </w:div>
          </w:divsChild>
        </w:div>
        <w:div w:id="1511020754">
          <w:marLeft w:val="0"/>
          <w:marRight w:val="0"/>
          <w:marTop w:val="0"/>
          <w:marBottom w:val="0"/>
          <w:divBdr>
            <w:top w:val="none" w:sz="0" w:space="0" w:color="auto"/>
            <w:left w:val="none" w:sz="0" w:space="0" w:color="auto"/>
            <w:bottom w:val="none" w:sz="0" w:space="0" w:color="auto"/>
            <w:right w:val="none" w:sz="0" w:space="0" w:color="auto"/>
          </w:divBdr>
          <w:divsChild>
            <w:div w:id="76219084">
              <w:marLeft w:val="0"/>
              <w:marRight w:val="0"/>
              <w:marTop w:val="0"/>
              <w:marBottom w:val="0"/>
              <w:divBdr>
                <w:top w:val="none" w:sz="0" w:space="0" w:color="auto"/>
                <w:left w:val="none" w:sz="0" w:space="0" w:color="auto"/>
                <w:bottom w:val="none" w:sz="0" w:space="0" w:color="auto"/>
                <w:right w:val="none" w:sz="0" w:space="0" w:color="auto"/>
              </w:divBdr>
            </w:div>
          </w:divsChild>
        </w:div>
        <w:div w:id="1459496874">
          <w:marLeft w:val="0"/>
          <w:marRight w:val="0"/>
          <w:marTop w:val="0"/>
          <w:marBottom w:val="0"/>
          <w:divBdr>
            <w:top w:val="none" w:sz="0" w:space="0" w:color="auto"/>
            <w:left w:val="none" w:sz="0" w:space="0" w:color="auto"/>
            <w:bottom w:val="none" w:sz="0" w:space="0" w:color="auto"/>
            <w:right w:val="none" w:sz="0" w:space="0" w:color="auto"/>
          </w:divBdr>
          <w:divsChild>
            <w:div w:id="539321353">
              <w:marLeft w:val="0"/>
              <w:marRight w:val="0"/>
              <w:marTop w:val="0"/>
              <w:marBottom w:val="0"/>
              <w:divBdr>
                <w:top w:val="none" w:sz="0" w:space="0" w:color="auto"/>
                <w:left w:val="none" w:sz="0" w:space="0" w:color="auto"/>
                <w:bottom w:val="none" w:sz="0" w:space="0" w:color="auto"/>
                <w:right w:val="none" w:sz="0" w:space="0" w:color="auto"/>
              </w:divBdr>
            </w:div>
          </w:divsChild>
        </w:div>
        <w:div w:id="561672112">
          <w:marLeft w:val="0"/>
          <w:marRight w:val="0"/>
          <w:marTop w:val="0"/>
          <w:marBottom w:val="0"/>
          <w:divBdr>
            <w:top w:val="none" w:sz="0" w:space="0" w:color="auto"/>
            <w:left w:val="none" w:sz="0" w:space="0" w:color="auto"/>
            <w:bottom w:val="none" w:sz="0" w:space="0" w:color="auto"/>
            <w:right w:val="none" w:sz="0" w:space="0" w:color="auto"/>
          </w:divBdr>
          <w:divsChild>
            <w:div w:id="729303189">
              <w:marLeft w:val="0"/>
              <w:marRight w:val="0"/>
              <w:marTop w:val="0"/>
              <w:marBottom w:val="0"/>
              <w:divBdr>
                <w:top w:val="none" w:sz="0" w:space="0" w:color="auto"/>
                <w:left w:val="none" w:sz="0" w:space="0" w:color="auto"/>
                <w:bottom w:val="none" w:sz="0" w:space="0" w:color="auto"/>
                <w:right w:val="none" w:sz="0" w:space="0" w:color="auto"/>
              </w:divBdr>
            </w:div>
          </w:divsChild>
        </w:div>
        <w:div w:id="1956516440">
          <w:marLeft w:val="0"/>
          <w:marRight w:val="0"/>
          <w:marTop w:val="0"/>
          <w:marBottom w:val="0"/>
          <w:divBdr>
            <w:top w:val="none" w:sz="0" w:space="0" w:color="auto"/>
            <w:left w:val="none" w:sz="0" w:space="0" w:color="auto"/>
            <w:bottom w:val="none" w:sz="0" w:space="0" w:color="auto"/>
            <w:right w:val="none" w:sz="0" w:space="0" w:color="auto"/>
          </w:divBdr>
          <w:divsChild>
            <w:div w:id="1437171704">
              <w:marLeft w:val="0"/>
              <w:marRight w:val="0"/>
              <w:marTop w:val="0"/>
              <w:marBottom w:val="0"/>
              <w:divBdr>
                <w:top w:val="none" w:sz="0" w:space="0" w:color="auto"/>
                <w:left w:val="none" w:sz="0" w:space="0" w:color="auto"/>
                <w:bottom w:val="none" w:sz="0" w:space="0" w:color="auto"/>
                <w:right w:val="none" w:sz="0" w:space="0" w:color="auto"/>
              </w:divBdr>
            </w:div>
          </w:divsChild>
        </w:div>
        <w:div w:id="481388307">
          <w:marLeft w:val="0"/>
          <w:marRight w:val="0"/>
          <w:marTop w:val="0"/>
          <w:marBottom w:val="0"/>
          <w:divBdr>
            <w:top w:val="none" w:sz="0" w:space="0" w:color="auto"/>
            <w:left w:val="none" w:sz="0" w:space="0" w:color="auto"/>
            <w:bottom w:val="none" w:sz="0" w:space="0" w:color="auto"/>
            <w:right w:val="none" w:sz="0" w:space="0" w:color="auto"/>
          </w:divBdr>
          <w:divsChild>
            <w:div w:id="1220364033">
              <w:marLeft w:val="0"/>
              <w:marRight w:val="0"/>
              <w:marTop w:val="0"/>
              <w:marBottom w:val="0"/>
              <w:divBdr>
                <w:top w:val="none" w:sz="0" w:space="0" w:color="auto"/>
                <w:left w:val="none" w:sz="0" w:space="0" w:color="auto"/>
                <w:bottom w:val="none" w:sz="0" w:space="0" w:color="auto"/>
                <w:right w:val="none" w:sz="0" w:space="0" w:color="auto"/>
              </w:divBdr>
            </w:div>
          </w:divsChild>
        </w:div>
        <w:div w:id="977417212">
          <w:marLeft w:val="0"/>
          <w:marRight w:val="0"/>
          <w:marTop w:val="0"/>
          <w:marBottom w:val="0"/>
          <w:divBdr>
            <w:top w:val="none" w:sz="0" w:space="0" w:color="auto"/>
            <w:left w:val="none" w:sz="0" w:space="0" w:color="auto"/>
            <w:bottom w:val="none" w:sz="0" w:space="0" w:color="auto"/>
            <w:right w:val="none" w:sz="0" w:space="0" w:color="auto"/>
          </w:divBdr>
          <w:divsChild>
            <w:div w:id="1903901732">
              <w:marLeft w:val="0"/>
              <w:marRight w:val="0"/>
              <w:marTop w:val="0"/>
              <w:marBottom w:val="0"/>
              <w:divBdr>
                <w:top w:val="none" w:sz="0" w:space="0" w:color="auto"/>
                <w:left w:val="none" w:sz="0" w:space="0" w:color="auto"/>
                <w:bottom w:val="none" w:sz="0" w:space="0" w:color="auto"/>
                <w:right w:val="none" w:sz="0" w:space="0" w:color="auto"/>
              </w:divBdr>
            </w:div>
          </w:divsChild>
        </w:div>
        <w:div w:id="604970205">
          <w:marLeft w:val="0"/>
          <w:marRight w:val="0"/>
          <w:marTop w:val="0"/>
          <w:marBottom w:val="0"/>
          <w:divBdr>
            <w:top w:val="none" w:sz="0" w:space="0" w:color="auto"/>
            <w:left w:val="none" w:sz="0" w:space="0" w:color="auto"/>
            <w:bottom w:val="none" w:sz="0" w:space="0" w:color="auto"/>
            <w:right w:val="none" w:sz="0" w:space="0" w:color="auto"/>
          </w:divBdr>
          <w:divsChild>
            <w:div w:id="1684353722">
              <w:marLeft w:val="0"/>
              <w:marRight w:val="0"/>
              <w:marTop w:val="0"/>
              <w:marBottom w:val="0"/>
              <w:divBdr>
                <w:top w:val="none" w:sz="0" w:space="0" w:color="auto"/>
                <w:left w:val="none" w:sz="0" w:space="0" w:color="auto"/>
                <w:bottom w:val="none" w:sz="0" w:space="0" w:color="auto"/>
                <w:right w:val="none" w:sz="0" w:space="0" w:color="auto"/>
              </w:divBdr>
            </w:div>
          </w:divsChild>
        </w:div>
        <w:div w:id="1500929708">
          <w:marLeft w:val="0"/>
          <w:marRight w:val="0"/>
          <w:marTop w:val="0"/>
          <w:marBottom w:val="0"/>
          <w:divBdr>
            <w:top w:val="none" w:sz="0" w:space="0" w:color="auto"/>
            <w:left w:val="none" w:sz="0" w:space="0" w:color="auto"/>
            <w:bottom w:val="none" w:sz="0" w:space="0" w:color="auto"/>
            <w:right w:val="none" w:sz="0" w:space="0" w:color="auto"/>
          </w:divBdr>
          <w:divsChild>
            <w:div w:id="1745297569">
              <w:marLeft w:val="0"/>
              <w:marRight w:val="0"/>
              <w:marTop w:val="0"/>
              <w:marBottom w:val="0"/>
              <w:divBdr>
                <w:top w:val="none" w:sz="0" w:space="0" w:color="auto"/>
                <w:left w:val="none" w:sz="0" w:space="0" w:color="auto"/>
                <w:bottom w:val="none" w:sz="0" w:space="0" w:color="auto"/>
                <w:right w:val="none" w:sz="0" w:space="0" w:color="auto"/>
              </w:divBdr>
            </w:div>
          </w:divsChild>
        </w:div>
        <w:div w:id="796873356">
          <w:marLeft w:val="0"/>
          <w:marRight w:val="0"/>
          <w:marTop w:val="0"/>
          <w:marBottom w:val="0"/>
          <w:divBdr>
            <w:top w:val="none" w:sz="0" w:space="0" w:color="auto"/>
            <w:left w:val="none" w:sz="0" w:space="0" w:color="auto"/>
            <w:bottom w:val="none" w:sz="0" w:space="0" w:color="auto"/>
            <w:right w:val="none" w:sz="0" w:space="0" w:color="auto"/>
          </w:divBdr>
          <w:divsChild>
            <w:div w:id="431440124">
              <w:marLeft w:val="0"/>
              <w:marRight w:val="0"/>
              <w:marTop w:val="0"/>
              <w:marBottom w:val="0"/>
              <w:divBdr>
                <w:top w:val="none" w:sz="0" w:space="0" w:color="auto"/>
                <w:left w:val="none" w:sz="0" w:space="0" w:color="auto"/>
                <w:bottom w:val="none" w:sz="0" w:space="0" w:color="auto"/>
                <w:right w:val="none" w:sz="0" w:space="0" w:color="auto"/>
              </w:divBdr>
            </w:div>
          </w:divsChild>
        </w:div>
        <w:div w:id="1490517365">
          <w:marLeft w:val="0"/>
          <w:marRight w:val="0"/>
          <w:marTop w:val="0"/>
          <w:marBottom w:val="0"/>
          <w:divBdr>
            <w:top w:val="none" w:sz="0" w:space="0" w:color="auto"/>
            <w:left w:val="none" w:sz="0" w:space="0" w:color="auto"/>
            <w:bottom w:val="none" w:sz="0" w:space="0" w:color="auto"/>
            <w:right w:val="none" w:sz="0" w:space="0" w:color="auto"/>
          </w:divBdr>
          <w:divsChild>
            <w:div w:id="1403944448">
              <w:marLeft w:val="0"/>
              <w:marRight w:val="0"/>
              <w:marTop w:val="0"/>
              <w:marBottom w:val="0"/>
              <w:divBdr>
                <w:top w:val="none" w:sz="0" w:space="0" w:color="auto"/>
                <w:left w:val="none" w:sz="0" w:space="0" w:color="auto"/>
                <w:bottom w:val="none" w:sz="0" w:space="0" w:color="auto"/>
                <w:right w:val="none" w:sz="0" w:space="0" w:color="auto"/>
              </w:divBdr>
            </w:div>
            <w:div w:id="2028020924">
              <w:marLeft w:val="0"/>
              <w:marRight w:val="0"/>
              <w:marTop w:val="0"/>
              <w:marBottom w:val="0"/>
              <w:divBdr>
                <w:top w:val="none" w:sz="0" w:space="0" w:color="auto"/>
                <w:left w:val="none" w:sz="0" w:space="0" w:color="auto"/>
                <w:bottom w:val="none" w:sz="0" w:space="0" w:color="auto"/>
                <w:right w:val="none" w:sz="0" w:space="0" w:color="auto"/>
              </w:divBdr>
            </w:div>
          </w:divsChild>
        </w:div>
        <w:div w:id="25184781">
          <w:marLeft w:val="0"/>
          <w:marRight w:val="0"/>
          <w:marTop w:val="0"/>
          <w:marBottom w:val="0"/>
          <w:divBdr>
            <w:top w:val="none" w:sz="0" w:space="0" w:color="auto"/>
            <w:left w:val="none" w:sz="0" w:space="0" w:color="auto"/>
            <w:bottom w:val="none" w:sz="0" w:space="0" w:color="auto"/>
            <w:right w:val="none" w:sz="0" w:space="0" w:color="auto"/>
          </w:divBdr>
          <w:divsChild>
            <w:div w:id="814756257">
              <w:marLeft w:val="0"/>
              <w:marRight w:val="0"/>
              <w:marTop w:val="0"/>
              <w:marBottom w:val="0"/>
              <w:divBdr>
                <w:top w:val="none" w:sz="0" w:space="0" w:color="auto"/>
                <w:left w:val="none" w:sz="0" w:space="0" w:color="auto"/>
                <w:bottom w:val="none" w:sz="0" w:space="0" w:color="auto"/>
                <w:right w:val="none" w:sz="0" w:space="0" w:color="auto"/>
              </w:divBdr>
            </w:div>
          </w:divsChild>
        </w:div>
        <w:div w:id="1563171684">
          <w:marLeft w:val="0"/>
          <w:marRight w:val="0"/>
          <w:marTop w:val="0"/>
          <w:marBottom w:val="0"/>
          <w:divBdr>
            <w:top w:val="none" w:sz="0" w:space="0" w:color="auto"/>
            <w:left w:val="none" w:sz="0" w:space="0" w:color="auto"/>
            <w:bottom w:val="none" w:sz="0" w:space="0" w:color="auto"/>
            <w:right w:val="none" w:sz="0" w:space="0" w:color="auto"/>
          </w:divBdr>
          <w:divsChild>
            <w:div w:id="163987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6706460">
      <w:bodyDiv w:val="1"/>
      <w:marLeft w:val="0"/>
      <w:marRight w:val="0"/>
      <w:marTop w:val="0"/>
      <w:marBottom w:val="0"/>
      <w:divBdr>
        <w:top w:val="none" w:sz="0" w:space="0" w:color="auto"/>
        <w:left w:val="none" w:sz="0" w:space="0" w:color="auto"/>
        <w:bottom w:val="none" w:sz="0" w:space="0" w:color="auto"/>
        <w:right w:val="none" w:sz="0" w:space="0" w:color="auto"/>
      </w:divBdr>
      <w:divsChild>
        <w:div w:id="227108147">
          <w:marLeft w:val="0"/>
          <w:marRight w:val="0"/>
          <w:marTop w:val="0"/>
          <w:marBottom w:val="0"/>
          <w:divBdr>
            <w:top w:val="none" w:sz="0" w:space="0" w:color="auto"/>
            <w:left w:val="none" w:sz="0" w:space="0" w:color="auto"/>
            <w:bottom w:val="none" w:sz="0" w:space="0" w:color="auto"/>
            <w:right w:val="none" w:sz="0" w:space="0" w:color="auto"/>
          </w:divBdr>
        </w:div>
        <w:div w:id="236521942">
          <w:marLeft w:val="0"/>
          <w:marRight w:val="0"/>
          <w:marTop w:val="0"/>
          <w:marBottom w:val="0"/>
          <w:divBdr>
            <w:top w:val="none" w:sz="0" w:space="0" w:color="auto"/>
            <w:left w:val="none" w:sz="0" w:space="0" w:color="auto"/>
            <w:bottom w:val="none" w:sz="0" w:space="0" w:color="auto"/>
            <w:right w:val="none" w:sz="0" w:space="0" w:color="auto"/>
          </w:divBdr>
        </w:div>
      </w:divsChild>
    </w:div>
    <w:div w:id="1429042532">
      <w:bodyDiv w:val="1"/>
      <w:marLeft w:val="0"/>
      <w:marRight w:val="0"/>
      <w:marTop w:val="0"/>
      <w:marBottom w:val="0"/>
      <w:divBdr>
        <w:top w:val="none" w:sz="0" w:space="0" w:color="auto"/>
        <w:left w:val="none" w:sz="0" w:space="0" w:color="auto"/>
        <w:bottom w:val="none" w:sz="0" w:space="0" w:color="auto"/>
        <w:right w:val="none" w:sz="0" w:space="0" w:color="auto"/>
      </w:divBdr>
      <w:divsChild>
        <w:div w:id="1807896270">
          <w:marLeft w:val="0"/>
          <w:marRight w:val="0"/>
          <w:marTop w:val="0"/>
          <w:marBottom w:val="0"/>
          <w:divBdr>
            <w:top w:val="none" w:sz="0" w:space="0" w:color="auto"/>
            <w:left w:val="none" w:sz="0" w:space="0" w:color="auto"/>
            <w:bottom w:val="none" w:sz="0" w:space="0" w:color="auto"/>
            <w:right w:val="none" w:sz="0" w:space="0" w:color="auto"/>
          </w:divBdr>
          <w:divsChild>
            <w:div w:id="1542015528">
              <w:marLeft w:val="0"/>
              <w:marRight w:val="0"/>
              <w:marTop w:val="0"/>
              <w:marBottom w:val="0"/>
              <w:divBdr>
                <w:top w:val="none" w:sz="0" w:space="0" w:color="auto"/>
                <w:left w:val="none" w:sz="0" w:space="0" w:color="auto"/>
                <w:bottom w:val="none" w:sz="0" w:space="0" w:color="auto"/>
                <w:right w:val="none" w:sz="0" w:space="0" w:color="auto"/>
              </w:divBdr>
              <w:divsChild>
                <w:div w:id="1761293041">
                  <w:marLeft w:val="0"/>
                  <w:marRight w:val="0"/>
                  <w:marTop w:val="0"/>
                  <w:marBottom w:val="0"/>
                  <w:divBdr>
                    <w:top w:val="none" w:sz="0" w:space="0" w:color="auto"/>
                    <w:left w:val="none" w:sz="0" w:space="0" w:color="auto"/>
                    <w:bottom w:val="none" w:sz="0" w:space="0" w:color="auto"/>
                    <w:right w:val="none" w:sz="0" w:space="0" w:color="auto"/>
                  </w:divBdr>
                  <w:divsChild>
                    <w:div w:id="1220677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9326117">
      <w:bodyDiv w:val="1"/>
      <w:marLeft w:val="0"/>
      <w:marRight w:val="0"/>
      <w:marTop w:val="0"/>
      <w:marBottom w:val="0"/>
      <w:divBdr>
        <w:top w:val="none" w:sz="0" w:space="0" w:color="auto"/>
        <w:left w:val="none" w:sz="0" w:space="0" w:color="auto"/>
        <w:bottom w:val="none" w:sz="0" w:space="0" w:color="auto"/>
        <w:right w:val="none" w:sz="0" w:space="0" w:color="auto"/>
      </w:divBdr>
      <w:divsChild>
        <w:div w:id="1794321356">
          <w:marLeft w:val="0"/>
          <w:marRight w:val="0"/>
          <w:marTop w:val="0"/>
          <w:marBottom w:val="0"/>
          <w:divBdr>
            <w:top w:val="none" w:sz="0" w:space="0" w:color="auto"/>
            <w:left w:val="none" w:sz="0" w:space="0" w:color="auto"/>
            <w:bottom w:val="none" w:sz="0" w:space="0" w:color="auto"/>
            <w:right w:val="none" w:sz="0" w:space="0" w:color="auto"/>
          </w:divBdr>
          <w:divsChild>
            <w:div w:id="1570647816">
              <w:marLeft w:val="0"/>
              <w:marRight w:val="0"/>
              <w:marTop w:val="0"/>
              <w:marBottom w:val="0"/>
              <w:divBdr>
                <w:top w:val="none" w:sz="0" w:space="0" w:color="auto"/>
                <w:left w:val="none" w:sz="0" w:space="0" w:color="auto"/>
                <w:bottom w:val="none" w:sz="0" w:space="0" w:color="auto"/>
                <w:right w:val="none" w:sz="0" w:space="0" w:color="auto"/>
              </w:divBdr>
              <w:divsChild>
                <w:div w:id="813259471">
                  <w:marLeft w:val="0"/>
                  <w:marRight w:val="0"/>
                  <w:marTop w:val="0"/>
                  <w:marBottom w:val="0"/>
                  <w:divBdr>
                    <w:top w:val="none" w:sz="0" w:space="0" w:color="auto"/>
                    <w:left w:val="none" w:sz="0" w:space="0" w:color="auto"/>
                    <w:bottom w:val="none" w:sz="0" w:space="0" w:color="auto"/>
                    <w:right w:val="none" w:sz="0" w:space="0" w:color="auto"/>
                  </w:divBdr>
                  <w:divsChild>
                    <w:div w:id="452526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9154366">
      <w:bodyDiv w:val="1"/>
      <w:marLeft w:val="0"/>
      <w:marRight w:val="0"/>
      <w:marTop w:val="0"/>
      <w:marBottom w:val="0"/>
      <w:divBdr>
        <w:top w:val="none" w:sz="0" w:space="0" w:color="auto"/>
        <w:left w:val="none" w:sz="0" w:space="0" w:color="auto"/>
        <w:bottom w:val="none" w:sz="0" w:space="0" w:color="auto"/>
        <w:right w:val="none" w:sz="0" w:space="0" w:color="auto"/>
      </w:divBdr>
      <w:divsChild>
        <w:div w:id="26217902">
          <w:marLeft w:val="0"/>
          <w:marRight w:val="0"/>
          <w:marTop w:val="0"/>
          <w:marBottom w:val="0"/>
          <w:divBdr>
            <w:top w:val="none" w:sz="0" w:space="0" w:color="auto"/>
            <w:left w:val="none" w:sz="0" w:space="0" w:color="auto"/>
            <w:bottom w:val="none" w:sz="0" w:space="0" w:color="auto"/>
            <w:right w:val="none" w:sz="0" w:space="0" w:color="auto"/>
          </w:divBdr>
          <w:divsChild>
            <w:div w:id="994801462">
              <w:marLeft w:val="0"/>
              <w:marRight w:val="0"/>
              <w:marTop w:val="0"/>
              <w:marBottom w:val="0"/>
              <w:divBdr>
                <w:top w:val="none" w:sz="0" w:space="0" w:color="auto"/>
                <w:left w:val="none" w:sz="0" w:space="0" w:color="auto"/>
                <w:bottom w:val="none" w:sz="0" w:space="0" w:color="auto"/>
                <w:right w:val="none" w:sz="0" w:space="0" w:color="auto"/>
              </w:divBdr>
              <w:divsChild>
                <w:div w:id="2107386124">
                  <w:marLeft w:val="0"/>
                  <w:marRight w:val="0"/>
                  <w:marTop w:val="0"/>
                  <w:marBottom w:val="0"/>
                  <w:divBdr>
                    <w:top w:val="none" w:sz="0" w:space="0" w:color="auto"/>
                    <w:left w:val="none" w:sz="0" w:space="0" w:color="auto"/>
                    <w:bottom w:val="none" w:sz="0" w:space="0" w:color="auto"/>
                    <w:right w:val="none" w:sz="0" w:space="0" w:color="auto"/>
                  </w:divBdr>
                  <w:divsChild>
                    <w:div w:id="845092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352128">
      <w:bodyDiv w:val="1"/>
      <w:marLeft w:val="0"/>
      <w:marRight w:val="0"/>
      <w:marTop w:val="0"/>
      <w:marBottom w:val="0"/>
      <w:divBdr>
        <w:top w:val="none" w:sz="0" w:space="0" w:color="auto"/>
        <w:left w:val="none" w:sz="0" w:space="0" w:color="auto"/>
        <w:bottom w:val="none" w:sz="0" w:space="0" w:color="auto"/>
        <w:right w:val="none" w:sz="0" w:space="0" w:color="auto"/>
      </w:divBdr>
    </w:div>
    <w:div w:id="1468550637">
      <w:bodyDiv w:val="1"/>
      <w:marLeft w:val="0"/>
      <w:marRight w:val="0"/>
      <w:marTop w:val="0"/>
      <w:marBottom w:val="0"/>
      <w:divBdr>
        <w:top w:val="none" w:sz="0" w:space="0" w:color="auto"/>
        <w:left w:val="none" w:sz="0" w:space="0" w:color="auto"/>
        <w:bottom w:val="none" w:sz="0" w:space="0" w:color="auto"/>
        <w:right w:val="none" w:sz="0" w:space="0" w:color="auto"/>
      </w:divBdr>
    </w:div>
    <w:div w:id="1484813410">
      <w:bodyDiv w:val="1"/>
      <w:marLeft w:val="0"/>
      <w:marRight w:val="0"/>
      <w:marTop w:val="0"/>
      <w:marBottom w:val="0"/>
      <w:divBdr>
        <w:top w:val="none" w:sz="0" w:space="0" w:color="auto"/>
        <w:left w:val="none" w:sz="0" w:space="0" w:color="auto"/>
        <w:bottom w:val="none" w:sz="0" w:space="0" w:color="auto"/>
        <w:right w:val="none" w:sz="0" w:space="0" w:color="auto"/>
      </w:divBdr>
      <w:divsChild>
        <w:div w:id="284043075">
          <w:marLeft w:val="0"/>
          <w:marRight w:val="0"/>
          <w:marTop w:val="0"/>
          <w:marBottom w:val="0"/>
          <w:divBdr>
            <w:top w:val="none" w:sz="0" w:space="0" w:color="auto"/>
            <w:left w:val="none" w:sz="0" w:space="0" w:color="auto"/>
            <w:bottom w:val="none" w:sz="0" w:space="0" w:color="auto"/>
            <w:right w:val="none" w:sz="0" w:space="0" w:color="auto"/>
          </w:divBdr>
          <w:divsChild>
            <w:div w:id="773406865">
              <w:marLeft w:val="0"/>
              <w:marRight w:val="0"/>
              <w:marTop w:val="0"/>
              <w:marBottom w:val="0"/>
              <w:divBdr>
                <w:top w:val="none" w:sz="0" w:space="0" w:color="auto"/>
                <w:left w:val="none" w:sz="0" w:space="0" w:color="auto"/>
                <w:bottom w:val="none" w:sz="0" w:space="0" w:color="auto"/>
                <w:right w:val="none" w:sz="0" w:space="0" w:color="auto"/>
              </w:divBdr>
              <w:divsChild>
                <w:div w:id="1374959558">
                  <w:marLeft w:val="0"/>
                  <w:marRight w:val="0"/>
                  <w:marTop w:val="0"/>
                  <w:marBottom w:val="0"/>
                  <w:divBdr>
                    <w:top w:val="none" w:sz="0" w:space="0" w:color="auto"/>
                    <w:left w:val="none" w:sz="0" w:space="0" w:color="auto"/>
                    <w:bottom w:val="none" w:sz="0" w:space="0" w:color="auto"/>
                    <w:right w:val="none" w:sz="0" w:space="0" w:color="auto"/>
                  </w:divBdr>
                  <w:divsChild>
                    <w:div w:id="2136440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3472635">
      <w:bodyDiv w:val="1"/>
      <w:marLeft w:val="0"/>
      <w:marRight w:val="0"/>
      <w:marTop w:val="0"/>
      <w:marBottom w:val="0"/>
      <w:divBdr>
        <w:top w:val="none" w:sz="0" w:space="0" w:color="auto"/>
        <w:left w:val="none" w:sz="0" w:space="0" w:color="auto"/>
        <w:bottom w:val="none" w:sz="0" w:space="0" w:color="auto"/>
        <w:right w:val="none" w:sz="0" w:space="0" w:color="auto"/>
      </w:divBdr>
    </w:div>
    <w:div w:id="1507745652">
      <w:bodyDiv w:val="1"/>
      <w:marLeft w:val="0"/>
      <w:marRight w:val="0"/>
      <w:marTop w:val="0"/>
      <w:marBottom w:val="0"/>
      <w:divBdr>
        <w:top w:val="none" w:sz="0" w:space="0" w:color="auto"/>
        <w:left w:val="none" w:sz="0" w:space="0" w:color="auto"/>
        <w:bottom w:val="none" w:sz="0" w:space="0" w:color="auto"/>
        <w:right w:val="none" w:sz="0" w:space="0" w:color="auto"/>
      </w:divBdr>
    </w:div>
    <w:div w:id="1515654960">
      <w:bodyDiv w:val="1"/>
      <w:marLeft w:val="0"/>
      <w:marRight w:val="0"/>
      <w:marTop w:val="0"/>
      <w:marBottom w:val="0"/>
      <w:divBdr>
        <w:top w:val="none" w:sz="0" w:space="0" w:color="auto"/>
        <w:left w:val="none" w:sz="0" w:space="0" w:color="auto"/>
        <w:bottom w:val="none" w:sz="0" w:space="0" w:color="auto"/>
        <w:right w:val="none" w:sz="0" w:space="0" w:color="auto"/>
      </w:divBdr>
      <w:divsChild>
        <w:div w:id="665321945">
          <w:marLeft w:val="0"/>
          <w:marRight w:val="0"/>
          <w:marTop w:val="0"/>
          <w:marBottom w:val="0"/>
          <w:divBdr>
            <w:top w:val="none" w:sz="0" w:space="0" w:color="auto"/>
            <w:left w:val="none" w:sz="0" w:space="0" w:color="auto"/>
            <w:bottom w:val="none" w:sz="0" w:space="0" w:color="auto"/>
            <w:right w:val="none" w:sz="0" w:space="0" w:color="auto"/>
          </w:divBdr>
        </w:div>
        <w:div w:id="1620068579">
          <w:marLeft w:val="0"/>
          <w:marRight w:val="0"/>
          <w:marTop w:val="0"/>
          <w:marBottom w:val="0"/>
          <w:divBdr>
            <w:top w:val="none" w:sz="0" w:space="0" w:color="auto"/>
            <w:left w:val="none" w:sz="0" w:space="0" w:color="auto"/>
            <w:bottom w:val="none" w:sz="0" w:space="0" w:color="auto"/>
            <w:right w:val="none" w:sz="0" w:space="0" w:color="auto"/>
          </w:divBdr>
        </w:div>
      </w:divsChild>
    </w:div>
    <w:div w:id="1520120579">
      <w:bodyDiv w:val="1"/>
      <w:marLeft w:val="0"/>
      <w:marRight w:val="0"/>
      <w:marTop w:val="0"/>
      <w:marBottom w:val="0"/>
      <w:divBdr>
        <w:top w:val="none" w:sz="0" w:space="0" w:color="auto"/>
        <w:left w:val="none" w:sz="0" w:space="0" w:color="auto"/>
        <w:bottom w:val="none" w:sz="0" w:space="0" w:color="auto"/>
        <w:right w:val="none" w:sz="0" w:space="0" w:color="auto"/>
      </w:divBdr>
      <w:divsChild>
        <w:div w:id="1547715430">
          <w:marLeft w:val="0"/>
          <w:marRight w:val="0"/>
          <w:marTop w:val="0"/>
          <w:marBottom w:val="0"/>
          <w:divBdr>
            <w:top w:val="none" w:sz="0" w:space="0" w:color="auto"/>
            <w:left w:val="none" w:sz="0" w:space="0" w:color="auto"/>
            <w:bottom w:val="none" w:sz="0" w:space="0" w:color="auto"/>
            <w:right w:val="none" w:sz="0" w:space="0" w:color="auto"/>
          </w:divBdr>
        </w:div>
        <w:div w:id="1114791783">
          <w:marLeft w:val="0"/>
          <w:marRight w:val="0"/>
          <w:marTop w:val="0"/>
          <w:marBottom w:val="0"/>
          <w:divBdr>
            <w:top w:val="none" w:sz="0" w:space="0" w:color="auto"/>
            <w:left w:val="none" w:sz="0" w:space="0" w:color="auto"/>
            <w:bottom w:val="none" w:sz="0" w:space="0" w:color="auto"/>
            <w:right w:val="none" w:sz="0" w:space="0" w:color="auto"/>
          </w:divBdr>
        </w:div>
        <w:div w:id="281303459">
          <w:marLeft w:val="0"/>
          <w:marRight w:val="0"/>
          <w:marTop w:val="0"/>
          <w:marBottom w:val="0"/>
          <w:divBdr>
            <w:top w:val="none" w:sz="0" w:space="0" w:color="auto"/>
            <w:left w:val="none" w:sz="0" w:space="0" w:color="auto"/>
            <w:bottom w:val="none" w:sz="0" w:space="0" w:color="auto"/>
            <w:right w:val="none" w:sz="0" w:space="0" w:color="auto"/>
          </w:divBdr>
        </w:div>
      </w:divsChild>
    </w:div>
    <w:div w:id="1523088416">
      <w:bodyDiv w:val="1"/>
      <w:marLeft w:val="0"/>
      <w:marRight w:val="0"/>
      <w:marTop w:val="0"/>
      <w:marBottom w:val="0"/>
      <w:divBdr>
        <w:top w:val="none" w:sz="0" w:space="0" w:color="auto"/>
        <w:left w:val="none" w:sz="0" w:space="0" w:color="auto"/>
        <w:bottom w:val="none" w:sz="0" w:space="0" w:color="auto"/>
        <w:right w:val="none" w:sz="0" w:space="0" w:color="auto"/>
      </w:divBdr>
    </w:div>
    <w:div w:id="1545826505">
      <w:bodyDiv w:val="1"/>
      <w:marLeft w:val="0"/>
      <w:marRight w:val="0"/>
      <w:marTop w:val="0"/>
      <w:marBottom w:val="0"/>
      <w:divBdr>
        <w:top w:val="none" w:sz="0" w:space="0" w:color="auto"/>
        <w:left w:val="none" w:sz="0" w:space="0" w:color="auto"/>
        <w:bottom w:val="none" w:sz="0" w:space="0" w:color="auto"/>
        <w:right w:val="none" w:sz="0" w:space="0" w:color="auto"/>
      </w:divBdr>
    </w:div>
    <w:div w:id="1548830875">
      <w:bodyDiv w:val="1"/>
      <w:marLeft w:val="0"/>
      <w:marRight w:val="0"/>
      <w:marTop w:val="0"/>
      <w:marBottom w:val="0"/>
      <w:divBdr>
        <w:top w:val="none" w:sz="0" w:space="0" w:color="auto"/>
        <w:left w:val="none" w:sz="0" w:space="0" w:color="auto"/>
        <w:bottom w:val="none" w:sz="0" w:space="0" w:color="auto"/>
        <w:right w:val="none" w:sz="0" w:space="0" w:color="auto"/>
      </w:divBdr>
      <w:divsChild>
        <w:div w:id="1724208950">
          <w:marLeft w:val="0"/>
          <w:marRight w:val="0"/>
          <w:marTop w:val="0"/>
          <w:marBottom w:val="0"/>
          <w:divBdr>
            <w:top w:val="none" w:sz="0" w:space="0" w:color="auto"/>
            <w:left w:val="none" w:sz="0" w:space="0" w:color="auto"/>
            <w:bottom w:val="none" w:sz="0" w:space="0" w:color="auto"/>
            <w:right w:val="none" w:sz="0" w:space="0" w:color="auto"/>
          </w:divBdr>
          <w:divsChild>
            <w:div w:id="599459279">
              <w:marLeft w:val="0"/>
              <w:marRight w:val="0"/>
              <w:marTop w:val="0"/>
              <w:marBottom w:val="0"/>
              <w:divBdr>
                <w:top w:val="none" w:sz="0" w:space="0" w:color="auto"/>
                <w:left w:val="none" w:sz="0" w:space="0" w:color="auto"/>
                <w:bottom w:val="none" w:sz="0" w:space="0" w:color="auto"/>
                <w:right w:val="none" w:sz="0" w:space="0" w:color="auto"/>
              </w:divBdr>
              <w:divsChild>
                <w:div w:id="208033936">
                  <w:marLeft w:val="0"/>
                  <w:marRight w:val="0"/>
                  <w:marTop w:val="0"/>
                  <w:marBottom w:val="0"/>
                  <w:divBdr>
                    <w:top w:val="none" w:sz="0" w:space="0" w:color="auto"/>
                    <w:left w:val="none" w:sz="0" w:space="0" w:color="auto"/>
                    <w:bottom w:val="none" w:sz="0" w:space="0" w:color="auto"/>
                    <w:right w:val="none" w:sz="0" w:space="0" w:color="auto"/>
                  </w:divBdr>
                  <w:divsChild>
                    <w:div w:id="588002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4661152">
      <w:bodyDiv w:val="1"/>
      <w:marLeft w:val="0"/>
      <w:marRight w:val="0"/>
      <w:marTop w:val="0"/>
      <w:marBottom w:val="0"/>
      <w:divBdr>
        <w:top w:val="none" w:sz="0" w:space="0" w:color="auto"/>
        <w:left w:val="none" w:sz="0" w:space="0" w:color="auto"/>
        <w:bottom w:val="none" w:sz="0" w:space="0" w:color="auto"/>
        <w:right w:val="none" w:sz="0" w:space="0" w:color="auto"/>
      </w:divBdr>
      <w:divsChild>
        <w:div w:id="113328839">
          <w:marLeft w:val="0"/>
          <w:marRight w:val="0"/>
          <w:marTop w:val="0"/>
          <w:marBottom w:val="0"/>
          <w:divBdr>
            <w:top w:val="none" w:sz="0" w:space="0" w:color="auto"/>
            <w:left w:val="none" w:sz="0" w:space="0" w:color="auto"/>
            <w:bottom w:val="none" w:sz="0" w:space="0" w:color="auto"/>
            <w:right w:val="none" w:sz="0" w:space="0" w:color="auto"/>
          </w:divBdr>
          <w:divsChild>
            <w:div w:id="1815562639">
              <w:marLeft w:val="0"/>
              <w:marRight w:val="0"/>
              <w:marTop w:val="0"/>
              <w:marBottom w:val="0"/>
              <w:divBdr>
                <w:top w:val="none" w:sz="0" w:space="0" w:color="auto"/>
                <w:left w:val="none" w:sz="0" w:space="0" w:color="auto"/>
                <w:bottom w:val="none" w:sz="0" w:space="0" w:color="auto"/>
                <w:right w:val="none" w:sz="0" w:space="0" w:color="auto"/>
              </w:divBdr>
              <w:divsChild>
                <w:div w:id="640964684">
                  <w:marLeft w:val="0"/>
                  <w:marRight w:val="0"/>
                  <w:marTop w:val="0"/>
                  <w:marBottom w:val="0"/>
                  <w:divBdr>
                    <w:top w:val="none" w:sz="0" w:space="0" w:color="auto"/>
                    <w:left w:val="none" w:sz="0" w:space="0" w:color="auto"/>
                    <w:bottom w:val="none" w:sz="0" w:space="0" w:color="auto"/>
                    <w:right w:val="none" w:sz="0" w:space="0" w:color="auto"/>
                  </w:divBdr>
                  <w:divsChild>
                    <w:div w:id="1988314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4661215">
      <w:bodyDiv w:val="1"/>
      <w:marLeft w:val="0"/>
      <w:marRight w:val="0"/>
      <w:marTop w:val="0"/>
      <w:marBottom w:val="0"/>
      <w:divBdr>
        <w:top w:val="none" w:sz="0" w:space="0" w:color="auto"/>
        <w:left w:val="none" w:sz="0" w:space="0" w:color="auto"/>
        <w:bottom w:val="none" w:sz="0" w:space="0" w:color="auto"/>
        <w:right w:val="none" w:sz="0" w:space="0" w:color="auto"/>
      </w:divBdr>
    </w:div>
    <w:div w:id="1556505898">
      <w:bodyDiv w:val="1"/>
      <w:marLeft w:val="0"/>
      <w:marRight w:val="0"/>
      <w:marTop w:val="0"/>
      <w:marBottom w:val="0"/>
      <w:divBdr>
        <w:top w:val="none" w:sz="0" w:space="0" w:color="auto"/>
        <w:left w:val="none" w:sz="0" w:space="0" w:color="auto"/>
        <w:bottom w:val="none" w:sz="0" w:space="0" w:color="auto"/>
        <w:right w:val="none" w:sz="0" w:space="0" w:color="auto"/>
      </w:divBdr>
      <w:divsChild>
        <w:div w:id="1151294136">
          <w:marLeft w:val="0"/>
          <w:marRight w:val="0"/>
          <w:marTop w:val="0"/>
          <w:marBottom w:val="0"/>
          <w:divBdr>
            <w:top w:val="none" w:sz="0" w:space="0" w:color="auto"/>
            <w:left w:val="none" w:sz="0" w:space="0" w:color="auto"/>
            <w:bottom w:val="none" w:sz="0" w:space="0" w:color="auto"/>
            <w:right w:val="none" w:sz="0" w:space="0" w:color="auto"/>
          </w:divBdr>
          <w:divsChild>
            <w:div w:id="101808669">
              <w:marLeft w:val="0"/>
              <w:marRight w:val="0"/>
              <w:marTop w:val="0"/>
              <w:marBottom w:val="0"/>
              <w:divBdr>
                <w:top w:val="none" w:sz="0" w:space="0" w:color="auto"/>
                <w:left w:val="none" w:sz="0" w:space="0" w:color="auto"/>
                <w:bottom w:val="none" w:sz="0" w:space="0" w:color="auto"/>
                <w:right w:val="none" w:sz="0" w:space="0" w:color="auto"/>
              </w:divBdr>
              <w:divsChild>
                <w:div w:id="1897860741">
                  <w:marLeft w:val="0"/>
                  <w:marRight w:val="0"/>
                  <w:marTop w:val="0"/>
                  <w:marBottom w:val="0"/>
                  <w:divBdr>
                    <w:top w:val="none" w:sz="0" w:space="0" w:color="auto"/>
                    <w:left w:val="none" w:sz="0" w:space="0" w:color="auto"/>
                    <w:bottom w:val="none" w:sz="0" w:space="0" w:color="auto"/>
                    <w:right w:val="none" w:sz="0" w:space="0" w:color="auto"/>
                  </w:divBdr>
                  <w:divsChild>
                    <w:div w:id="377245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3327758">
      <w:bodyDiv w:val="1"/>
      <w:marLeft w:val="0"/>
      <w:marRight w:val="0"/>
      <w:marTop w:val="0"/>
      <w:marBottom w:val="0"/>
      <w:divBdr>
        <w:top w:val="none" w:sz="0" w:space="0" w:color="auto"/>
        <w:left w:val="none" w:sz="0" w:space="0" w:color="auto"/>
        <w:bottom w:val="none" w:sz="0" w:space="0" w:color="auto"/>
        <w:right w:val="none" w:sz="0" w:space="0" w:color="auto"/>
      </w:divBdr>
      <w:divsChild>
        <w:div w:id="34428085">
          <w:marLeft w:val="0"/>
          <w:marRight w:val="0"/>
          <w:marTop w:val="0"/>
          <w:marBottom w:val="0"/>
          <w:divBdr>
            <w:top w:val="none" w:sz="0" w:space="0" w:color="auto"/>
            <w:left w:val="none" w:sz="0" w:space="0" w:color="auto"/>
            <w:bottom w:val="none" w:sz="0" w:space="0" w:color="auto"/>
            <w:right w:val="none" w:sz="0" w:space="0" w:color="auto"/>
          </w:divBdr>
          <w:divsChild>
            <w:div w:id="123473828">
              <w:marLeft w:val="0"/>
              <w:marRight w:val="0"/>
              <w:marTop w:val="0"/>
              <w:marBottom w:val="0"/>
              <w:divBdr>
                <w:top w:val="none" w:sz="0" w:space="0" w:color="auto"/>
                <w:left w:val="none" w:sz="0" w:space="0" w:color="auto"/>
                <w:bottom w:val="none" w:sz="0" w:space="0" w:color="auto"/>
                <w:right w:val="none" w:sz="0" w:space="0" w:color="auto"/>
              </w:divBdr>
            </w:div>
          </w:divsChild>
        </w:div>
        <w:div w:id="190842712">
          <w:marLeft w:val="0"/>
          <w:marRight w:val="0"/>
          <w:marTop w:val="0"/>
          <w:marBottom w:val="0"/>
          <w:divBdr>
            <w:top w:val="none" w:sz="0" w:space="0" w:color="auto"/>
            <w:left w:val="none" w:sz="0" w:space="0" w:color="auto"/>
            <w:bottom w:val="none" w:sz="0" w:space="0" w:color="auto"/>
            <w:right w:val="none" w:sz="0" w:space="0" w:color="auto"/>
          </w:divBdr>
          <w:divsChild>
            <w:div w:id="1100952386">
              <w:marLeft w:val="0"/>
              <w:marRight w:val="0"/>
              <w:marTop w:val="0"/>
              <w:marBottom w:val="0"/>
              <w:divBdr>
                <w:top w:val="none" w:sz="0" w:space="0" w:color="auto"/>
                <w:left w:val="none" w:sz="0" w:space="0" w:color="auto"/>
                <w:bottom w:val="none" w:sz="0" w:space="0" w:color="auto"/>
                <w:right w:val="none" w:sz="0" w:space="0" w:color="auto"/>
              </w:divBdr>
            </w:div>
          </w:divsChild>
        </w:div>
        <w:div w:id="223495403">
          <w:marLeft w:val="0"/>
          <w:marRight w:val="0"/>
          <w:marTop w:val="0"/>
          <w:marBottom w:val="0"/>
          <w:divBdr>
            <w:top w:val="none" w:sz="0" w:space="0" w:color="auto"/>
            <w:left w:val="none" w:sz="0" w:space="0" w:color="auto"/>
            <w:bottom w:val="none" w:sz="0" w:space="0" w:color="auto"/>
            <w:right w:val="none" w:sz="0" w:space="0" w:color="auto"/>
          </w:divBdr>
          <w:divsChild>
            <w:div w:id="1977684607">
              <w:marLeft w:val="0"/>
              <w:marRight w:val="0"/>
              <w:marTop w:val="0"/>
              <w:marBottom w:val="0"/>
              <w:divBdr>
                <w:top w:val="none" w:sz="0" w:space="0" w:color="auto"/>
                <w:left w:val="none" w:sz="0" w:space="0" w:color="auto"/>
                <w:bottom w:val="none" w:sz="0" w:space="0" w:color="auto"/>
                <w:right w:val="none" w:sz="0" w:space="0" w:color="auto"/>
              </w:divBdr>
            </w:div>
          </w:divsChild>
        </w:div>
        <w:div w:id="653459846">
          <w:marLeft w:val="0"/>
          <w:marRight w:val="0"/>
          <w:marTop w:val="0"/>
          <w:marBottom w:val="0"/>
          <w:divBdr>
            <w:top w:val="none" w:sz="0" w:space="0" w:color="auto"/>
            <w:left w:val="none" w:sz="0" w:space="0" w:color="auto"/>
            <w:bottom w:val="none" w:sz="0" w:space="0" w:color="auto"/>
            <w:right w:val="none" w:sz="0" w:space="0" w:color="auto"/>
          </w:divBdr>
          <w:divsChild>
            <w:div w:id="1761901671">
              <w:marLeft w:val="0"/>
              <w:marRight w:val="0"/>
              <w:marTop w:val="0"/>
              <w:marBottom w:val="0"/>
              <w:divBdr>
                <w:top w:val="none" w:sz="0" w:space="0" w:color="auto"/>
                <w:left w:val="none" w:sz="0" w:space="0" w:color="auto"/>
                <w:bottom w:val="none" w:sz="0" w:space="0" w:color="auto"/>
                <w:right w:val="none" w:sz="0" w:space="0" w:color="auto"/>
              </w:divBdr>
            </w:div>
          </w:divsChild>
        </w:div>
        <w:div w:id="885677697">
          <w:marLeft w:val="0"/>
          <w:marRight w:val="0"/>
          <w:marTop w:val="0"/>
          <w:marBottom w:val="0"/>
          <w:divBdr>
            <w:top w:val="none" w:sz="0" w:space="0" w:color="auto"/>
            <w:left w:val="none" w:sz="0" w:space="0" w:color="auto"/>
            <w:bottom w:val="none" w:sz="0" w:space="0" w:color="auto"/>
            <w:right w:val="none" w:sz="0" w:space="0" w:color="auto"/>
          </w:divBdr>
          <w:divsChild>
            <w:div w:id="507793782">
              <w:marLeft w:val="0"/>
              <w:marRight w:val="0"/>
              <w:marTop w:val="0"/>
              <w:marBottom w:val="0"/>
              <w:divBdr>
                <w:top w:val="none" w:sz="0" w:space="0" w:color="auto"/>
                <w:left w:val="none" w:sz="0" w:space="0" w:color="auto"/>
                <w:bottom w:val="none" w:sz="0" w:space="0" w:color="auto"/>
                <w:right w:val="none" w:sz="0" w:space="0" w:color="auto"/>
              </w:divBdr>
            </w:div>
          </w:divsChild>
        </w:div>
        <w:div w:id="921646349">
          <w:marLeft w:val="0"/>
          <w:marRight w:val="0"/>
          <w:marTop w:val="0"/>
          <w:marBottom w:val="0"/>
          <w:divBdr>
            <w:top w:val="none" w:sz="0" w:space="0" w:color="auto"/>
            <w:left w:val="none" w:sz="0" w:space="0" w:color="auto"/>
            <w:bottom w:val="none" w:sz="0" w:space="0" w:color="auto"/>
            <w:right w:val="none" w:sz="0" w:space="0" w:color="auto"/>
          </w:divBdr>
          <w:divsChild>
            <w:div w:id="1380744529">
              <w:marLeft w:val="0"/>
              <w:marRight w:val="0"/>
              <w:marTop w:val="0"/>
              <w:marBottom w:val="0"/>
              <w:divBdr>
                <w:top w:val="none" w:sz="0" w:space="0" w:color="auto"/>
                <w:left w:val="none" w:sz="0" w:space="0" w:color="auto"/>
                <w:bottom w:val="none" w:sz="0" w:space="0" w:color="auto"/>
                <w:right w:val="none" w:sz="0" w:space="0" w:color="auto"/>
              </w:divBdr>
            </w:div>
          </w:divsChild>
        </w:div>
        <w:div w:id="1147817365">
          <w:marLeft w:val="0"/>
          <w:marRight w:val="0"/>
          <w:marTop w:val="0"/>
          <w:marBottom w:val="0"/>
          <w:divBdr>
            <w:top w:val="none" w:sz="0" w:space="0" w:color="auto"/>
            <w:left w:val="none" w:sz="0" w:space="0" w:color="auto"/>
            <w:bottom w:val="none" w:sz="0" w:space="0" w:color="auto"/>
            <w:right w:val="none" w:sz="0" w:space="0" w:color="auto"/>
          </w:divBdr>
          <w:divsChild>
            <w:div w:id="1315451132">
              <w:marLeft w:val="0"/>
              <w:marRight w:val="0"/>
              <w:marTop w:val="0"/>
              <w:marBottom w:val="0"/>
              <w:divBdr>
                <w:top w:val="none" w:sz="0" w:space="0" w:color="auto"/>
                <w:left w:val="none" w:sz="0" w:space="0" w:color="auto"/>
                <w:bottom w:val="none" w:sz="0" w:space="0" w:color="auto"/>
                <w:right w:val="none" w:sz="0" w:space="0" w:color="auto"/>
              </w:divBdr>
            </w:div>
          </w:divsChild>
        </w:div>
        <w:div w:id="1176268738">
          <w:marLeft w:val="0"/>
          <w:marRight w:val="0"/>
          <w:marTop w:val="0"/>
          <w:marBottom w:val="0"/>
          <w:divBdr>
            <w:top w:val="none" w:sz="0" w:space="0" w:color="auto"/>
            <w:left w:val="none" w:sz="0" w:space="0" w:color="auto"/>
            <w:bottom w:val="none" w:sz="0" w:space="0" w:color="auto"/>
            <w:right w:val="none" w:sz="0" w:space="0" w:color="auto"/>
          </w:divBdr>
          <w:divsChild>
            <w:div w:id="883446942">
              <w:marLeft w:val="0"/>
              <w:marRight w:val="0"/>
              <w:marTop w:val="0"/>
              <w:marBottom w:val="0"/>
              <w:divBdr>
                <w:top w:val="none" w:sz="0" w:space="0" w:color="auto"/>
                <w:left w:val="none" w:sz="0" w:space="0" w:color="auto"/>
                <w:bottom w:val="none" w:sz="0" w:space="0" w:color="auto"/>
                <w:right w:val="none" w:sz="0" w:space="0" w:color="auto"/>
              </w:divBdr>
            </w:div>
          </w:divsChild>
        </w:div>
        <w:div w:id="1234392182">
          <w:marLeft w:val="0"/>
          <w:marRight w:val="0"/>
          <w:marTop w:val="0"/>
          <w:marBottom w:val="0"/>
          <w:divBdr>
            <w:top w:val="none" w:sz="0" w:space="0" w:color="auto"/>
            <w:left w:val="none" w:sz="0" w:space="0" w:color="auto"/>
            <w:bottom w:val="none" w:sz="0" w:space="0" w:color="auto"/>
            <w:right w:val="none" w:sz="0" w:space="0" w:color="auto"/>
          </w:divBdr>
          <w:divsChild>
            <w:div w:id="1756440384">
              <w:marLeft w:val="0"/>
              <w:marRight w:val="0"/>
              <w:marTop w:val="0"/>
              <w:marBottom w:val="0"/>
              <w:divBdr>
                <w:top w:val="none" w:sz="0" w:space="0" w:color="auto"/>
                <w:left w:val="none" w:sz="0" w:space="0" w:color="auto"/>
                <w:bottom w:val="none" w:sz="0" w:space="0" w:color="auto"/>
                <w:right w:val="none" w:sz="0" w:space="0" w:color="auto"/>
              </w:divBdr>
            </w:div>
          </w:divsChild>
        </w:div>
        <w:div w:id="1514609836">
          <w:marLeft w:val="0"/>
          <w:marRight w:val="0"/>
          <w:marTop w:val="0"/>
          <w:marBottom w:val="0"/>
          <w:divBdr>
            <w:top w:val="none" w:sz="0" w:space="0" w:color="auto"/>
            <w:left w:val="none" w:sz="0" w:space="0" w:color="auto"/>
            <w:bottom w:val="none" w:sz="0" w:space="0" w:color="auto"/>
            <w:right w:val="none" w:sz="0" w:space="0" w:color="auto"/>
          </w:divBdr>
          <w:divsChild>
            <w:div w:id="103548881">
              <w:marLeft w:val="0"/>
              <w:marRight w:val="0"/>
              <w:marTop w:val="0"/>
              <w:marBottom w:val="0"/>
              <w:divBdr>
                <w:top w:val="none" w:sz="0" w:space="0" w:color="auto"/>
                <w:left w:val="none" w:sz="0" w:space="0" w:color="auto"/>
                <w:bottom w:val="none" w:sz="0" w:space="0" w:color="auto"/>
                <w:right w:val="none" w:sz="0" w:space="0" w:color="auto"/>
              </w:divBdr>
            </w:div>
          </w:divsChild>
        </w:div>
        <w:div w:id="1734893334">
          <w:marLeft w:val="0"/>
          <w:marRight w:val="0"/>
          <w:marTop w:val="0"/>
          <w:marBottom w:val="0"/>
          <w:divBdr>
            <w:top w:val="none" w:sz="0" w:space="0" w:color="auto"/>
            <w:left w:val="none" w:sz="0" w:space="0" w:color="auto"/>
            <w:bottom w:val="none" w:sz="0" w:space="0" w:color="auto"/>
            <w:right w:val="none" w:sz="0" w:space="0" w:color="auto"/>
          </w:divBdr>
          <w:divsChild>
            <w:div w:id="736249056">
              <w:marLeft w:val="0"/>
              <w:marRight w:val="0"/>
              <w:marTop w:val="0"/>
              <w:marBottom w:val="0"/>
              <w:divBdr>
                <w:top w:val="none" w:sz="0" w:space="0" w:color="auto"/>
                <w:left w:val="none" w:sz="0" w:space="0" w:color="auto"/>
                <w:bottom w:val="none" w:sz="0" w:space="0" w:color="auto"/>
                <w:right w:val="none" w:sz="0" w:space="0" w:color="auto"/>
              </w:divBdr>
            </w:div>
          </w:divsChild>
        </w:div>
        <w:div w:id="1781677163">
          <w:marLeft w:val="0"/>
          <w:marRight w:val="0"/>
          <w:marTop w:val="0"/>
          <w:marBottom w:val="0"/>
          <w:divBdr>
            <w:top w:val="none" w:sz="0" w:space="0" w:color="auto"/>
            <w:left w:val="none" w:sz="0" w:space="0" w:color="auto"/>
            <w:bottom w:val="none" w:sz="0" w:space="0" w:color="auto"/>
            <w:right w:val="none" w:sz="0" w:space="0" w:color="auto"/>
          </w:divBdr>
          <w:divsChild>
            <w:div w:id="436755739">
              <w:marLeft w:val="0"/>
              <w:marRight w:val="0"/>
              <w:marTop w:val="0"/>
              <w:marBottom w:val="0"/>
              <w:divBdr>
                <w:top w:val="none" w:sz="0" w:space="0" w:color="auto"/>
                <w:left w:val="none" w:sz="0" w:space="0" w:color="auto"/>
                <w:bottom w:val="none" w:sz="0" w:space="0" w:color="auto"/>
                <w:right w:val="none" w:sz="0" w:space="0" w:color="auto"/>
              </w:divBdr>
            </w:div>
          </w:divsChild>
        </w:div>
        <w:div w:id="1853185048">
          <w:marLeft w:val="0"/>
          <w:marRight w:val="0"/>
          <w:marTop w:val="0"/>
          <w:marBottom w:val="0"/>
          <w:divBdr>
            <w:top w:val="none" w:sz="0" w:space="0" w:color="auto"/>
            <w:left w:val="none" w:sz="0" w:space="0" w:color="auto"/>
            <w:bottom w:val="none" w:sz="0" w:space="0" w:color="auto"/>
            <w:right w:val="none" w:sz="0" w:space="0" w:color="auto"/>
          </w:divBdr>
          <w:divsChild>
            <w:div w:id="1038965656">
              <w:marLeft w:val="0"/>
              <w:marRight w:val="0"/>
              <w:marTop w:val="0"/>
              <w:marBottom w:val="0"/>
              <w:divBdr>
                <w:top w:val="none" w:sz="0" w:space="0" w:color="auto"/>
                <w:left w:val="none" w:sz="0" w:space="0" w:color="auto"/>
                <w:bottom w:val="none" w:sz="0" w:space="0" w:color="auto"/>
                <w:right w:val="none" w:sz="0" w:space="0" w:color="auto"/>
              </w:divBdr>
            </w:div>
          </w:divsChild>
        </w:div>
        <w:div w:id="1887331339">
          <w:marLeft w:val="0"/>
          <w:marRight w:val="0"/>
          <w:marTop w:val="0"/>
          <w:marBottom w:val="0"/>
          <w:divBdr>
            <w:top w:val="none" w:sz="0" w:space="0" w:color="auto"/>
            <w:left w:val="none" w:sz="0" w:space="0" w:color="auto"/>
            <w:bottom w:val="none" w:sz="0" w:space="0" w:color="auto"/>
            <w:right w:val="none" w:sz="0" w:space="0" w:color="auto"/>
          </w:divBdr>
          <w:divsChild>
            <w:div w:id="1366908244">
              <w:marLeft w:val="0"/>
              <w:marRight w:val="0"/>
              <w:marTop w:val="0"/>
              <w:marBottom w:val="0"/>
              <w:divBdr>
                <w:top w:val="none" w:sz="0" w:space="0" w:color="auto"/>
                <w:left w:val="none" w:sz="0" w:space="0" w:color="auto"/>
                <w:bottom w:val="none" w:sz="0" w:space="0" w:color="auto"/>
                <w:right w:val="none" w:sz="0" w:space="0" w:color="auto"/>
              </w:divBdr>
            </w:div>
          </w:divsChild>
        </w:div>
        <w:div w:id="1901088408">
          <w:marLeft w:val="0"/>
          <w:marRight w:val="0"/>
          <w:marTop w:val="0"/>
          <w:marBottom w:val="0"/>
          <w:divBdr>
            <w:top w:val="none" w:sz="0" w:space="0" w:color="auto"/>
            <w:left w:val="none" w:sz="0" w:space="0" w:color="auto"/>
            <w:bottom w:val="none" w:sz="0" w:space="0" w:color="auto"/>
            <w:right w:val="none" w:sz="0" w:space="0" w:color="auto"/>
          </w:divBdr>
          <w:divsChild>
            <w:div w:id="2078624452">
              <w:marLeft w:val="0"/>
              <w:marRight w:val="0"/>
              <w:marTop w:val="0"/>
              <w:marBottom w:val="0"/>
              <w:divBdr>
                <w:top w:val="none" w:sz="0" w:space="0" w:color="auto"/>
                <w:left w:val="none" w:sz="0" w:space="0" w:color="auto"/>
                <w:bottom w:val="none" w:sz="0" w:space="0" w:color="auto"/>
                <w:right w:val="none" w:sz="0" w:space="0" w:color="auto"/>
              </w:divBdr>
            </w:div>
          </w:divsChild>
        </w:div>
        <w:div w:id="2098596825">
          <w:marLeft w:val="0"/>
          <w:marRight w:val="0"/>
          <w:marTop w:val="0"/>
          <w:marBottom w:val="0"/>
          <w:divBdr>
            <w:top w:val="none" w:sz="0" w:space="0" w:color="auto"/>
            <w:left w:val="none" w:sz="0" w:space="0" w:color="auto"/>
            <w:bottom w:val="none" w:sz="0" w:space="0" w:color="auto"/>
            <w:right w:val="none" w:sz="0" w:space="0" w:color="auto"/>
          </w:divBdr>
          <w:divsChild>
            <w:div w:id="516971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197801">
      <w:bodyDiv w:val="1"/>
      <w:marLeft w:val="0"/>
      <w:marRight w:val="0"/>
      <w:marTop w:val="0"/>
      <w:marBottom w:val="0"/>
      <w:divBdr>
        <w:top w:val="none" w:sz="0" w:space="0" w:color="auto"/>
        <w:left w:val="none" w:sz="0" w:space="0" w:color="auto"/>
        <w:bottom w:val="none" w:sz="0" w:space="0" w:color="auto"/>
        <w:right w:val="none" w:sz="0" w:space="0" w:color="auto"/>
      </w:divBdr>
    </w:div>
    <w:div w:id="1576356323">
      <w:bodyDiv w:val="1"/>
      <w:marLeft w:val="0"/>
      <w:marRight w:val="0"/>
      <w:marTop w:val="0"/>
      <w:marBottom w:val="0"/>
      <w:divBdr>
        <w:top w:val="none" w:sz="0" w:space="0" w:color="auto"/>
        <w:left w:val="none" w:sz="0" w:space="0" w:color="auto"/>
        <w:bottom w:val="none" w:sz="0" w:space="0" w:color="auto"/>
        <w:right w:val="none" w:sz="0" w:space="0" w:color="auto"/>
      </w:divBdr>
      <w:divsChild>
        <w:div w:id="1373338912">
          <w:marLeft w:val="0"/>
          <w:marRight w:val="0"/>
          <w:marTop w:val="0"/>
          <w:marBottom w:val="0"/>
          <w:divBdr>
            <w:top w:val="none" w:sz="0" w:space="0" w:color="auto"/>
            <w:left w:val="none" w:sz="0" w:space="0" w:color="auto"/>
            <w:bottom w:val="none" w:sz="0" w:space="0" w:color="auto"/>
            <w:right w:val="none" w:sz="0" w:space="0" w:color="auto"/>
          </w:divBdr>
          <w:divsChild>
            <w:div w:id="368144771">
              <w:marLeft w:val="0"/>
              <w:marRight w:val="0"/>
              <w:marTop w:val="0"/>
              <w:marBottom w:val="0"/>
              <w:divBdr>
                <w:top w:val="none" w:sz="0" w:space="0" w:color="auto"/>
                <w:left w:val="none" w:sz="0" w:space="0" w:color="auto"/>
                <w:bottom w:val="none" w:sz="0" w:space="0" w:color="auto"/>
                <w:right w:val="none" w:sz="0" w:space="0" w:color="auto"/>
              </w:divBdr>
              <w:divsChild>
                <w:div w:id="1387022218">
                  <w:marLeft w:val="0"/>
                  <w:marRight w:val="0"/>
                  <w:marTop w:val="0"/>
                  <w:marBottom w:val="0"/>
                  <w:divBdr>
                    <w:top w:val="none" w:sz="0" w:space="0" w:color="auto"/>
                    <w:left w:val="none" w:sz="0" w:space="0" w:color="auto"/>
                    <w:bottom w:val="none" w:sz="0" w:space="0" w:color="auto"/>
                    <w:right w:val="none" w:sz="0" w:space="0" w:color="auto"/>
                  </w:divBdr>
                  <w:divsChild>
                    <w:div w:id="2092921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2258259">
      <w:bodyDiv w:val="1"/>
      <w:marLeft w:val="0"/>
      <w:marRight w:val="0"/>
      <w:marTop w:val="0"/>
      <w:marBottom w:val="0"/>
      <w:divBdr>
        <w:top w:val="none" w:sz="0" w:space="0" w:color="auto"/>
        <w:left w:val="none" w:sz="0" w:space="0" w:color="auto"/>
        <w:bottom w:val="none" w:sz="0" w:space="0" w:color="auto"/>
        <w:right w:val="none" w:sz="0" w:space="0" w:color="auto"/>
      </w:divBdr>
      <w:divsChild>
        <w:div w:id="2105954075">
          <w:marLeft w:val="0"/>
          <w:marRight w:val="0"/>
          <w:marTop w:val="0"/>
          <w:marBottom w:val="0"/>
          <w:divBdr>
            <w:top w:val="none" w:sz="0" w:space="0" w:color="auto"/>
            <w:left w:val="none" w:sz="0" w:space="0" w:color="auto"/>
            <w:bottom w:val="none" w:sz="0" w:space="0" w:color="auto"/>
            <w:right w:val="none" w:sz="0" w:space="0" w:color="auto"/>
          </w:divBdr>
          <w:divsChild>
            <w:div w:id="732697247">
              <w:marLeft w:val="0"/>
              <w:marRight w:val="0"/>
              <w:marTop w:val="0"/>
              <w:marBottom w:val="0"/>
              <w:divBdr>
                <w:top w:val="none" w:sz="0" w:space="0" w:color="auto"/>
                <w:left w:val="none" w:sz="0" w:space="0" w:color="auto"/>
                <w:bottom w:val="none" w:sz="0" w:space="0" w:color="auto"/>
                <w:right w:val="none" w:sz="0" w:space="0" w:color="auto"/>
              </w:divBdr>
              <w:divsChild>
                <w:div w:id="1394349662">
                  <w:marLeft w:val="0"/>
                  <w:marRight w:val="0"/>
                  <w:marTop w:val="0"/>
                  <w:marBottom w:val="0"/>
                  <w:divBdr>
                    <w:top w:val="none" w:sz="0" w:space="0" w:color="auto"/>
                    <w:left w:val="none" w:sz="0" w:space="0" w:color="auto"/>
                    <w:bottom w:val="none" w:sz="0" w:space="0" w:color="auto"/>
                    <w:right w:val="none" w:sz="0" w:space="0" w:color="auto"/>
                  </w:divBdr>
                  <w:divsChild>
                    <w:div w:id="203911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9801539">
      <w:bodyDiv w:val="1"/>
      <w:marLeft w:val="0"/>
      <w:marRight w:val="0"/>
      <w:marTop w:val="0"/>
      <w:marBottom w:val="0"/>
      <w:divBdr>
        <w:top w:val="none" w:sz="0" w:space="0" w:color="auto"/>
        <w:left w:val="none" w:sz="0" w:space="0" w:color="auto"/>
        <w:bottom w:val="none" w:sz="0" w:space="0" w:color="auto"/>
        <w:right w:val="none" w:sz="0" w:space="0" w:color="auto"/>
      </w:divBdr>
      <w:divsChild>
        <w:div w:id="812210338">
          <w:marLeft w:val="0"/>
          <w:marRight w:val="0"/>
          <w:marTop w:val="0"/>
          <w:marBottom w:val="0"/>
          <w:divBdr>
            <w:top w:val="none" w:sz="0" w:space="0" w:color="auto"/>
            <w:left w:val="none" w:sz="0" w:space="0" w:color="auto"/>
            <w:bottom w:val="none" w:sz="0" w:space="0" w:color="auto"/>
            <w:right w:val="none" w:sz="0" w:space="0" w:color="auto"/>
          </w:divBdr>
          <w:divsChild>
            <w:div w:id="526991035">
              <w:marLeft w:val="0"/>
              <w:marRight w:val="0"/>
              <w:marTop w:val="0"/>
              <w:marBottom w:val="0"/>
              <w:divBdr>
                <w:top w:val="none" w:sz="0" w:space="0" w:color="auto"/>
                <w:left w:val="none" w:sz="0" w:space="0" w:color="auto"/>
                <w:bottom w:val="none" w:sz="0" w:space="0" w:color="auto"/>
                <w:right w:val="none" w:sz="0" w:space="0" w:color="auto"/>
              </w:divBdr>
              <w:divsChild>
                <w:div w:id="623467197">
                  <w:marLeft w:val="0"/>
                  <w:marRight w:val="0"/>
                  <w:marTop w:val="0"/>
                  <w:marBottom w:val="0"/>
                  <w:divBdr>
                    <w:top w:val="none" w:sz="0" w:space="0" w:color="auto"/>
                    <w:left w:val="none" w:sz="0" w:space="0" w:color="auto"/>
                    <w:bottom w:val="none" w:sz="0" w:space="0" w:color="auto"/>
                    <w:right w:val="none" w:sz="0" w:space="0" w:color="auto"/>
                  </w:divBdr>
                  <w:divsChild>
                    <w:div w:id="1463500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3975202">
      <w:bodyDiv w:val="1"/>
      <w:marLeft w:val="0"/>
      <w:marRight w:val="0"/>
      <w:marTop w:val="0"/>
      <w:marBottom w:val="0"/>
      <w:divBdr>
        <w:top w:val="none" w:sz="0" w:space="0" w:color="auto"/>
        <w:left w:val="none" w:sz="0" w:space="0" w:color="auto"/>
        <w:bottom w:val="none" w:sz="0" w:space="0" w:color="auto"/>
        <w:right w:val="none" w:sz="0" w:space="0" w:color="auto"/>
      </w:divBdr>
      <w:divsChild>
        <w:div w:id="19162864">
          <w:marLeft w:val="0"/>
          <w:marRight w:val="0"/>
          <w:marTop w:val="0"/>
          <w:marBottom w:val="0"/>
          <w:divBdr>
            <w:top w:val="none" w:sz="0" w:space="0" w:color="auto"/>
            <w:left w:val="none" w:sz="0" w:space="0" w:color="auto"/>
            <w:bottom w:val="none" w:sz="0" w:space="0" w:color="auto"/>
            <w:right w:val="none" w:sz="0" w:space="0" w:color="auto"/>
          </w:divBdr>
          <w:divsChild>
            <w:div w:id="1081217839">
              <w:marLeft w:val="0"/>
              <w:marRight w:val="0"/>
              <w:marTop w:val="0"/>
              <w:marBottom w:val="0"/>
              <w:divBdr>
                <w:top w:val="none" w:sz="0" w:space="0" w:color="auto"/>
                <w:left w:val="none" w:sz="0" w:space="0" w:color="auto"/>
                <w:bottom w:val="none" w:sz="0" w:space="0" w:color="auto"/>
                <w:right w:val="none" w:sz="0" w:space="0" w:color="auto"/>
              </w:divBdr>
            </w:div>
          </w:divsChild>
        </w:div>
        <w:div w:id="47664719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01765931">
      <w:bodyDiv w:val="1"/>
      <w:marLeft w:val="0"/>
      <w:marRight w:val="0"/>
      <w:marTop w:val="0"/>
      <w:marBottom w:val="0"/>
      <w:divBdr>
        <w:top w:val="none" w:sz="0" w:space="0" w:color="auto"/>
        <w:left w:val="none" w:sz="0" w:space="0" w:color="auto"/>
        <w:bottom w:val="none" w:sz="0" w:space="0" w:color="auto"/>
        <w:right w:val="none" w:sz="0" w:space="0" w:color="auto"/>
      </w:divBdr>
      <w:divsChild>
        <w:div w:id="539167083">
          <w:marLeft w:val="0"/>
          <w:marRight w:val="0"/>
          <w:marTop w:val="0"/>
          <w:marBottom w:val="0"/>
          <w:divBdr>
            <w:top w:val="none" w:sz="0" w:space="0" w:color="auto"/>
            <w:left w:val="none" w:sz="0" w:space="0" w:color="auto"/>
            <w:bottom w:val="none" w:sz="0" w:space="0" w:color="auto"/>
            <w:right w:val="none" w:sz="0" w:space="0" w:color="auto"/>
          </w:divBdr>
          <w:divsChild>
            <w:div w:id="1129857813">
              <w:marLeft w:val="0"/>
              <w:marRight w:val="0"/>
              <w:marTop w:val="0"/>
              <w:marBottom w:val="0"/>
              <w:divBdr>
                <w:top w:val="none" w:sz="0" w:space="0" w:color="auto"/>
                <w:left w:val="none" w:sz="0" w:space="0" w:color="auto"/>
                <w:bottom w:val="none" w:sz="0" w:space="0" w:color="auto"/>
                <w:right w:val="none" w:sz="0" w:space="0" w:color="auto"/>
              </w:divBdr>
              <w:divsChild>
                <w:div w:id="203760924">
                  <w:marLeft w:val="0"/>
                  <w:marRight w:val="0"/>
                  <w:marTop w:val="0"/>
                  <w:marBottom w:val="0"/>
                  <w:divBdr>
                    <w:top w:val="none" w:sz="0" w:space="0" w:color="auto"/>
                    <w:left w:val="none" w:sz="0" w:space="0" w:color="auto"/>
                    <w:bottom w:val="none" w:sz="0" w:space="0" w:color="auto"/>
                    <w:right w:val="none" w:sz="0" w:space="0" w:color="auto"/>
                  </w:divBdr>
                  <w:divsChild>
                    <w:div w:id="731469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2732399">
      <w:bodyDiv w:val="1"/>
      <w:marLeft w:val="0"/>
      <w:marRight w:val="0"/>
      <w:marTop w:val="0"/>
      <w:marBottom w:val="0"/>
      <w:divBdr>
        <w:top w:val="none" w:sz="0" w:space="0" w:color="auto"/>
        <w:left w:val="none" w:sz="0" w:space="0" w:color="auto"/>
        <w:bottom w:val="none" w:sz="0" w:space="0" w:color="auto"/>
        <w:right w:val="none" w:sz="0" w:space="0" w:color="auto"/>
      </w:divBdr>
    </w:div>
    <w:div w:id="1662150179">
      <w:bodyDiv w:val="1"/>
      <w:marLeft w:val="0"/>
      <w:marRight w:val="0"/>
      <w:marTop w:val="0"/>
      <w:marBottom w:val="0"/>
      <w:divBdr>
        <w:top w:val="none" w:sz="0" w:space="0" w:color="auto"/>
        <w:left w:val="none" w:sz="0" w:space="0" w:color="auto"/>
        <w:bottom w:val="none" w:sz="0" w:space="0" w:color="auto"/>
        <w:right w:val="none" w:sz="0" w:space="0" w:color="auto"/>
      </w:divBdr>
      <w:divsChild>
        <w:div w:id="2041012420">
          <w:marLeft w:val="0"/>
          <w:marRight w:val="0"/>
          <w:marTop w:val="0"/>
          <w:marBottom w:val="0"/>
          <w:divBdr>
            <w:top w:val="none" w:sz="0" w:space="0" w:color="auto"/>
            <w:left w:val="none" w:sz="0" w:space="0" w:color="auto"/>
            <w:bottom w:val="none" w:sz="0" w:space="0" w:color="auto"/>
            <w:right w:val="none" w:sz="0" w:space="0" w:color="auto"/>
          </w:divBdr>
          <w:divsChild>
            <w:div w:id="146820748">
              <w:marLeft w:val="0"/>
              <w:marRight w:val="0"/>
              <w:marTop w:val="0"/>
              <w:marBottom w:val="0"/>
              <w:divBdr>
                <w:top w:val="none" w:sz="0" w:space="0" w:color="auto"/>
                <w:left w:val="none" w:sz="0" w:space="0" w:color="auto"/>
                <w:bottom w:val="none" w:sz="0" w:space="0" w:color="auto"/>
                <w:right w:val="none" w:sz="0" w:space="0" w:color="auto"/>
              </w:divBdr>
              <w:divsChild>
                <w:div w:id="706490979">
                  <w:marLeft w:val="0"/>
                  <w:marRight w:val="0"/>
                  <w:marTop w:val="0"/>
                  <w:marBottom w:val="0"/>
                  <w:divBdr>
                    <w:top w:val="none" w:sz="0" w:space="0" w:color="auto"/>
                    <w:left w:val="none" w:sz="0" w:space="0" w:color="auto"/>
                    <w:bottom w:val="none" w:sz="0" w:space="0" w:color="auto"/>
                    <w:right w:val="none" w:sz="0" w:space="0" w:color="auto"/>
                  </w:divBdr>
                  <w:divsChild>
                    <w:div w:id="1836915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5938539">
      <w:bodyDiv w:val="1"/>
      <w:marLeft w:val="0"/>
      <w:marRight w:val="0"/>
      <w:marTop w:val="0"/>
      <w:marBottom w:val="0"/>
      <w:divBdr>
        <w:top w:val="none" w:sz="0" w:space="0" w:color="auto"/>
        <w:left w:val="none" w:sz="0" w:space="0" w:color="auto"/>
        <w:bottom w:val="none" w:sz="0" w:space="0" w:color="auto"/>
        <w:right w:val="none" w:sz="0" w:space="0" w:color="auto"/>
      </w:divBdr>
    </w:div>
    <w:div w:id="1687095867">
      <w:bodyDiv w:val="1"/>
      <w:marLeft w:val="0"/>
      <w:marRight w:val="0"/>
      <w:marTop w:val="0"/>
      <w:marBottom w:val="0"/>
      <w:divBdr>
        <w:top w:val="none" w:sz="0" w:space="0" w:color="auto"/>
        <w:left w:val="none" w:sz="0" w:space="0" w:color="auto"/>
        <w:bottom w:val="none" w:sz="0" w:space="0" w:color="auto"/>
        <w:right w:val="none" w:sz="0" w:space="0" w:color="auto"/>
      </w:divBdr>
    </w:div>
    <w:div w:id="1690257466">
      <w:bodyDiv w:val="1"/>
      <w:marLeft w:val="0"/>
      <w:marRight w:val="0"/>
      <w:marTop w:val="0"/>
      <w:marBottom w:val="0"/>
      <w:divBdr>
        <w:top w:val="none" w:sz="0" w:space="0" w:color="auto"/>
        <w:left w:val="none" w:sz="0" w:space="0" w:color="auto"/>
        <w:bottom w:val="none" w:sz="0" w:space="0" w:color="auto"/>
        <w:right w:val="none" w:sz="0" w:space="0" w:color="auto"/>
      </w:divBdr>
    </w:div>
    <w:div w:id="1698191034">
      <w:bodyDiv w:val="1"/>
      <w:marLeft w:val="0"/>
      <w:marRight w:val="0"/>
      <w:marTop w:val="0"/>
      <w:marBottom w:val="0"/>
      <w:divBdr>
        <w:top w:val="none" w:sz="0" w:space="0" w:color="auto"/>
        <w:left w:val="none" w:sz="0" w:space="0" w:color="auto"/>
        <w:bottom w:val="none" w:sz="0" w:space="0" w:color="auto"/>
        <w:right w:val="none" w:sz="0" w:space="0" w:color="auto"/>
      </w:divBdr>
    </w:div>
    <w:div w:id="1698700552">
      <w:bodyDiv w:val="1"/>
      <w:marLeft w:val="0"/>
      <w:marRight w:val="0"/>
      <w:marTop w:val="0"/>
      <w:marBottom w:val="0"/>
      <w:divBdr>
        <w:top w:val="none" w:sz="0" w:space="0" w:color="auto"/>
        <w:left w:val="none" w:sz="0" w:space="0" w:color="auto"/>
        <w:bottom w:val="none" w:sz="0" w:space="0" w:color="auto"/>
        <w:right w:val="none" w:sz="0" w:space="0" w:color="auto"/>
      </w:divBdr>
    </w:div>
    <w:div w:id="1698852196">
      <w:bodyDiv w:val="1"/>
      <w:marLeft w:val="0"/>
      <w:marRight w:val="0"/>
      <w:marTop w:val="0"/>
      <w:marBottom w:val="0"/>
      <w:divBdr>
        <w:top w:val="none" w:sz="0" w:space="0" w:color="auto"/>
        <w:left w:val="none" w:sz="0" w:space="0" w:color="auto"/>
        <w:bottom w:val="none" w:sz="0" w:space="0" w:color="auto"/>
        <w:right w:val="none" w:sz="0" w:space="0" w:color="auto"/>
      </w:divBdr>
      <w:divsChild>
        <w:div w:id="1360743682">
          <w:marLeft w:val="0"/>
          <w:marRight w:val="0"/>
          <w:marTop w:val="0"/>
          <w:marBottom w:val="0"/>
          <w:divBdr>
            <w:top w:val="none" w:sz="0" w:space="0" w:color="auto"/>
            <w:left w:val="none" w:sz="0" w:space="0" w:color="auto"/>
            <w:bottom w:val="none" w:sz="0" w:space="0" w:color="auto"/>
            <w:right w:val="none" w:sz="0" w:space="0" w:color="auto"/>
          </w:divBdr>
          <w:divsChild>
            <w:div w:id="660043660">
              <w:marLeft w:val="0"/>
              <w:marRight w:val="0"/>
              <w:marTop w:val="0"/>
              <w:marBottom w:val="0"/>
              <w:divBdr>
                <w:top w:val="none" w:sz="0" w:space="0" w:color="auto"/>
                <w:left w:val="none" w:sz="0" w:space="0" w:color="auto"/>
                <w:bottom w:val="none" w:sz="0" w:space="0" w:color="auto"/>
                <w:right w:val="none" w:sz="0" w:space="0" w:color="auto"/>
              </w:divBdr>
              <w:divsChild>
                <w:div w:id="956332398">
                  <w:marLeft w:val="0"/>
                  <w:marRight w:val="0"/>
                  <w:marTop w:val="0"/>
                  <w:marBottom w:val="0"/>
                  <w:divBdr>
                    <w:top w:val="none" w:sz="0" w:space="0" w:color="auto"/>
                    <w:left w:val="none" w:sz="0" w:space="0" w:color="auto"/>
                    <w:bottom w:val="none" w:sz="0" w:space="0" w:color="auto"/>
                    <w:right w:val="none" w:sz="0" w:space="0" w:color="auto"/>
                  </w:divBdr>
                  <w:divsChild>
                    <w:div w:id="1992363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1807046">
      <w:bodyDiv w:val="1"/>
      <w:marLeft w:val="0"/>
      <w:marRight w:val="0"/>
      <w:marTop w:val="0"/>
      <w:marBottom w:val="0"/>
      <w:divBdr>
        <w:top w:val="none" w:sz="0" w:space="0" w:color="auto"/>
        <w:left w:val="none" w:sz="0" w:space="0" w:color="auto"/>
        <w:bottom w:val="none" w:sz="0" w:space="0" w:color="auto"/>
        <w:right w:val="none" w:sz="0" w:space="0" w:color="auto"/>
      </w:divBdr>
      <w:divsChild>
        <w:div w:id="678655814">
          <w:marLeft w:val="0"/>
          <w:marRight w:val="0"/>
          <w:marTop w:val="0"/>
          <w:marBottom w:val="0"/>
          <w:divBdr>
            <w:top w:val="none" w:sz="0" w:space="0" w:color="auto"/>
            <w:left w:val="none" w:sz="0" w:space="0" w:color="auto"/>
            <w:bottom w:val="none" w:sz="0" w:space="0" w:color="auto"/>
            <w:right w:val="none" w:sz="0" w:space="0" w:color="auto"/>
          </w:divBdr>
          <w:divsChild>
            <w:div w:id="2087994784">
              <w:marLeft w:val="0"/>
              <w:marRight w:val="0"/>
              <w:marTop w:val="0"/>
              <w:marBottom w:val="0"/>
              <w:divBdr>
                <w:top w:val="none" w:sz="0" w:space="0" w:color="auto"/>
                <w:left w:val="none" w:sz="0" w:space="0" w:color="auto"/>
                <w:bottom w:val="none" w:sz="0" w:space="0" w:color="auto"/>
                <w:right w:val="none" w:sz="0" w:space="0" w:color="auto"/>
              </w:divBdr>
              <w:divsChild>
                <w:div w:id="1285581481">
                  <w:marLeft w:val="0"/>
                  <w:marRight w:val="0"/>
                  <w:marTop w:val="0"/>
                  <w:marBottom w:val="0"/>
                  <w:divBdr>
                    <w:top w:val="none" w:sz="0" w:space="0" w:color="auto"/>
                    <w:left w:val="none" w:sz="0" w:space="0" w:color="auto"/>
                    <w:bottom w:val="none" w:sz="0" w:space="0" w:color="auto"/>
                    <w:right w:val="none" w:sz="0" w:space="0" w:color="auto"/>
                  </w:divBdr>
                  <w:divsChild>
                    <w:div w:id="81850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2921022">
      <w:bodyDiv w:val="1"/>
      <w:marLeft w:val="0"/>
      <w:marRight w:val="0"/>
      <w:marTop w:val="0"/>
      <w:marBottom w:val="0"/>
      <w:divBdr>
        <w:top w:val="none" w:sz="0" w:space="0" w:color="auto"/>
        <w:left w:val="none" w:sz="0" w:space="0" w:color="auto"/>
        <w:bottom w:val="none" w:sz="0" w:space="0" w:color="auto"/>
        <w:right w:val="none" w:sz="0" w:space="0" w:color="auto"/>
      </w:divBdr>
      <w:divsChild>
        <w:div w:id="1289169085">
          <w:marLeft w:val="0"/>
          <w:marRight w:val="0"/>
          <w:marTop w:val="0"/>
          <w:marBottom w:val="0"/>
          <w:divBdr>
            <w:top w:val="none" w:sz="0" w:space="0" w:color="auto"/>
            <w:left w:val="none" w:sz="0" w:space="0" w:color="auto"/>
            <w:bottom w:val="none" w:sz="0" w:space="0" w:color="auto"/>
            <w:right w:val="none" w:sz="0" w:space="0" w:color="auto"/>
          </w:divBdr>
          <w:divsChild>
            <w:div w:id="169419924">
              <w:marLeft w:val="0"/>
              <w:marRight w:val="0"/>
              <w:marTop w:val="0"/>
              <w:marBottom w:val="0"/>
              <w:divBdr>
                <w:top w:val="none" w:sz="0" w:space="0" w:color="auto"/>
                <w:left w:val="none" w:sz="0" w:space="0" w:color="auto"/>
                <w:bottom w:val="none" w:sz="0" w:space="0" w:color="auto"/>
                <w:right w:val="none" w:sz="0" w:space="0" w:color="auto"/>
              </w:divBdr>
              <w:divsChild>
                <w:div w:id="1987664352">
                  <w:marLeft w:val="0"/>
                  <w:marRight w:val="0"/>
                  <w:marTop w:val="0"/>
                  <w:marBottom w:val="0"/>
                  <w:divBdr>
                    <w:top w:val="none" w:sz="0" w:space="0" w:color="auto"/>
                    <w:left w:val="none" w:sz="0" w:space="0" w:color="auto"/>
                    <w:bottom w:val="none" w:sz="0" w:space="0" w:color="auto"/>
                    <w:right w:val="none" w:sz="0" w:space="0" w:color="auto"/>
                  </w:divBdr>
                  <w:divsChild>
                    <w:div w:id="27329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4983887">
      <w:bodyDiv w:val="1"/>
      <w:marLeft w:val="0"/>
      <w:marRight w:val="0"/>
      <w:marTop w:val="0"/>
      <w:marBottom w:val="0"/>
      <w:divBdr>
        <w:top w:val="none" w:sz="0" w:space="0" w:color="auto"/>
        <w:left w:val="none" w:sz="0" w:space="0" w:color="auto"/>
        <w:bottom w:val="none" w:sz="0" w:space="0" w:color="auto"/>
        <w:right w:val="none" w:sz="0" w:space="0" w:color="auto"/>
      </w:divBdr>
      <w:divsChild>
        <w:div w:id="923881994">
          <w:marLeft w:val="0"/>
          <w:marRight w:val="0"/>
          <w:marTop w:val="0"/>
          <w:marBottom w:val="0"/>
          <w:divBdr>
            <w:top w:val="none" w:sz="0" w:space="0" w:color="auto"/>
            <w:left w:val="none" w:sz="0" w:space="0" w:color="auto"/>
            <w:bottom w:val="none" w:sz="0" w:space="0" w:color="auto"/>
            <w:right w:val="none" w:sz="0" w:space="0" w:color="auto"/>
          </w:divBdr>
          <w:divsChild>
            <w:div w:id="855971663">
              <w:marLeft w:val="0"/>
              <w:marRight w:val="0"/>
              <w:marTop w:val="0"/>
              <w:marBottom w:val="0"/>
              <w:divBdr>
                <w:top w:val="none" w:sz="0" w:space="0" w:color="auto"/>
                <w:left w:val="none" w:sz="0" w:space="0" w:color="auto"/>
                <w:bottom w:val="none" w:sz="0" w:space="0" w:color="auto"/>
                <w:right w:val="none" w:sz="0" w:space="0" w:color="auto"/>
              </w:divBdr>
              <w:divsChild>
                <w:div w:id="789055863">
                  <w:marLeft w:val="0"/>
                  <w:marRight w:val="0"/>
                  <w:marTop w:val="0"/>
                  <w:marBottom w:val="0"/>
                  <w:divBdr>
                    <w:top w:val="none" w:sz="0" w:space="0" w:color="auto"/>
                    <w:left w:val="none" w:sz="0" w:space="0" w:color="auto"/>
                    <w:bottom w:val="none" w:sz="0" w:space="0" w:color="auto"/>
                    <w:right w:val="none" w:sz="0" w:space="0" w:color="auto"/>
                  </w:divBdr>
                  <w:divsChild>
                    <w:div w:id="39265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074878">
      <w:bodyDiv w:val="1"/>
      <w:marLeft w:val="0"/>
      <w:marRight w:val="0"/>
      <w:marTop w:val="0"/>
      <w:marBottom w:val="0"/>
      <w:divBdr>
        <w:top w:val="none" w:sz="0" w:space="0" w:color="auto"/>
        <w:left w:val="none" w:sz="0" w:space="0" w:color="auto"/>
        <w:bottom w:val="none" w:sz="0" w:space="0" w:color="auto"/>
        <w:right w:val="none" w:sz="0" w:space="0" w:color="auto"/>
      </w:divBdr>
      <w:divsChild>
        <w:div w:id="314457915">
          <w:marLeft w:val="0"/>
          <w:marRight w:val="0"/>
          <w:marTop w:val="0"/>
          <w:marBottom w:val="0"/>
          <w:divBdr>
            <w:top w:val="none" w:sz="0" w:space="0" w:color="auto"/>
            <w:left w:val="none" w:sz="0" w:space="0" w:color="auto"/>
            <w:bottom w:val="none" w:sz="0" w:space="0" w:color="auto"/>
            <w:right w:val="none" w:sz="0" w:space="0" w:color="auto"/>
          </w:divBdr>
          <w:divsChild>
            <w:div w:id="374430004">
              <w:marLeft w:val="0"/>
              <w:marRight w:val="0"/>
              <w:marTop w:val="0"/>
              <w:marBottom w:val="0"/>
              <w:divBdr>
                <w:top w:val="none" w:sz="0" w:space="0" w:color="auto"/>
                <w:left w:val="none" w:sz="0" w:space="0" w:color="auto"/>
                <w:bottom w:val="none" w:sz="0" w:space="0" w:color="auto"/>
                <w:right w:val="none" w:sz="0" w:space="0" w:color="auto"/>
              </w:divBdr>
            </w:div>
            <w:div w:id="571740590">
              <w:marLeft w:val="0"/>
              <w:marRight w:val="0"/>
              <w:marTop w:val="0"/>
              <w:marBottom w:val="0"/>
              <w:divBdr>
                <w:top w:val="none" w:sz="0" w:space="0" w:color="auto"/>
                <w:left w:val="none" w:sz="0" w:space="0" w:color="auto"/>
                <w:bottom w:val="none" w:sz="0" w:space="0" w:color="auto"/>
                <w:right w:val="none" w:sz="0" w:space="0" w:color="auto"/>
              </w:divBdr>
            </w:div>
            <w:div w:id="588273433">
              <w:marLeft w:val="0"/>
              <w:marRight w:val="0"/>
              <w:marTop w:val="0"/>
              <w:marBottom w:val="0"/>
              <w:divBdr>
                <w:top w:val="none" w:sz="0" w:space="0" w:color="auto"/>
                <w:left w:val="none" w:sz="0" w:space="0" w:color="auto"/>
                <w:bottom w:val="none" w:sz="0" w:space="0" w:color="auto"/>
                <w:right w:val="none" w:sz="0" w:space="0" w:color="auto"/>
              </w:divBdr>
            </w:div>
            <w:div w:id="751900287">
              <w:marLeft w:val="0"/>
              <w:marRight w:val="0"/>
              <w:marTop w:val="0"/>
              <w:marBottom w:val="0"/>
              <w:divBdr>
                <w:top w:val="none" w:sz="0" w:space="0" w:color="auto"/>
                <w:left w:val="none" w:sz="0" w:space="0" w:color="auto"/>
                <w:bottom w:val="none" w:sz="0" w:space="0" w:color="auto"/>
                <w:right w:val="none" w:sz="0" w:space="0" w:color="auto"/>
              </w:divBdr>
            </w:div>
            <w:div w:id="1016927935">
              <w:marLeft w:val="0"/>
              <w:marRight w:val="0"/>
              <w:marTop w:val="0"/>
              <w:marBottom w:val="0"/>
              <w:divBdr>
                <w:top w:val="none" w:sz="0" w:space="0" w:color="auto"/>
                <w:left w:val="none" w:sz="0" w:space="0" w:color="auto"/>
                <w:bottom w:val="none" w:sz="0" w:space="0" w:color="auto"/>
                <w:right w:val="none" w:sz="0" w:space="0" w:color="auto"/>
              </w:divBdr>
            </w:div>
            <w:div w:id="1152066103">
              <w:marLeft w:val="0"/>
              <w:marRight w:val="0"/>
              <w:marTop w:val="0"/>
              <w:marBottom w:val="0"/>
              <w:divBdr>
                <w:top w:val="none" w:sz="0" w:space="0" w:color="auto"/>
                <w:left w:val="none" w:sz="0" w:space="0" w:color="auto"/>
                <w:bottom w:val="none" w:sz="0" w:space="0" w:color="auto"/>
                <w:right w:val="none" w:sz="0" w:space="0" w:color="auto"/>
              </w:divBdr>
            </w:div>
            <w:div w:id="1682852797">
              <w:marLeft w:val="0"/>
              <w:marRight w:val="0"/>
              <w:marTop w:val="0"/>
              <w:marBottom w:val="0"/>
              <w:divBdr>
                <w:top w:val="none" w:sz="0" w:space="0" w:color="auto"/>
                <w:left w:val="none" w:sz="0" w:space="0" w:color="auto"/>
                <w:bottom w:val="none" w:sz="0" w:space="0" w:color="auto"/>
                <w:right w:val="none" w:sz="0" w:space="0" w:color="auto"/>
              </w:divBdr>
            </w:div>
            <w:div w:id="1816216710">
              <w:marLeft w:val="0"/>
              <w:marRight w:val="0"/>
              <w:marTop w:val="0"/>
              <w:marBottom w:val="0"/>
              <w:divBdr>
                <w:top w:val="none" w:sz="0" w:space="0" w:color="auto"/>
                <w:left w:val="none" w:sz="0" w:space="0" w:color="auto"/>
                <w:bottom w:val="none" w:sz="0" w:space="0" w:color="auto"/>
                <w:right w:val="none" w:sz="0" w:space="0" w:color="auto"/>
              </w:divBdr>
            </w:div>
            <w:div w:id="2032025318">
              <w:marLeft w:val="0"/>
              <w:marRight w:val="0"/>
              <w:marTop w:val="0"/>
              <w:marBottom w:val="0"/>
              <w:divBdr>
                <w:top w:val="none" w:sz="0" w:space="0" w:color="auto"/>
                <w:left w:val="none" w:sz="0" w:space="0" w:color="auto"/>
                <w:bottom w:val="none" w:sz="0" w:space="0" w:color="auto"/>
                <w:right w:val="none" w:sz="0" w:space="0" w:color="auto"/>
              </w:divBdr>
            </w:div>
          </w:divsChild>
        </w:div>
        <w:div w:id="1177891082">
          <w:marLeft w:val="0"/>
          <w:marRight w:val="0"/>
          <w:marTop w:val="0"/>
          <w:marBottom w:val="0"/>
          <w:divBdr>
            <w:top w:val="none" w:sz="0" w:space="0" w:color="auto"/>
            <w:left w:val="none" w:sz="0" w:space="0" w:color="auto"/>
            <w:bottom w:val="none" w:sz="0" w:space="0" w:color="auto"/>
            <w:right w:val="none" w:sz="0" w:space="0" w:color="auto"/>
          </w:divBdr>
        </w:div>
      </w:divsChild>
    </w:div>
    <w:div w:id="1793597136">
      <w:bodyDiv w:val="1"/>
      <w:marLeft w:val="0"/>
      <w:marRight w:val="0"/>
      <w:marTop w:val="0"/>
      <w:marBottom w:val="0"/>
      <w:divBdr>
        <w:top w:val="none" w:sz="0" w:space="0" w:color="auto"/>
        <w:left w:val="none" w:sz="0" w:space="0" w:color="auto"/>
        <w:bottom w:val="none" w:sz="0" w:space="0" w:color="auto"/>
        <w:right w:val="none" w:sz="0" w:space="0" w:color="auto"/>
      </w:divBdr>
      <w:divsChild>
        <w:div w:id="582761329">
          <w:marLeft w:val="0"/>
          <w:marRight w:val="0"/>
          <w:marTop w:val="0"/>
          <w:marBottom w:val="0"/>
          <w:divBdr>
            <w:top w:val="none" w:sz="0" w:space="0" w:color="auto"/>
            <w:left w:val="none" w:sz="0" w:space="0" w:color="auto"/>
            <w:bottom w:val="none" w:sz="0" w:space="0" w:color="auto"/>
            <w:right w:val="none" w:sz="0" w:space="0" w:color="auto"/>
          </w:divBdr>
          <w:divsChild>
            <w:div w:id="1331644011">
              <w:marLeft w:val="0"/>
              <w:marRight w:val="0"/>
              <w:marTop w:val="0"/>
              <w:marBottom w:val="0"/>
              <w:divBdr>
                <w:top w:val="none" w:sz="0" w:space="0" w:color="auto"/>
                <w:left w:val="none" w:sz="0" w:space="0" w:color="auto"/>
                <w:bottom w:val="none" w:sz="0" w:space="0" w:color="auto"/>
                <w:right w:val="none" w:sz="0" w:space="0" w:color="auto"/>
              </w:divBdr>
              <w:divsChild>
                <w:div w:id="180821920">
                  <w:marLeft w:val="0"/>
                  <w:marRight w:val="0"/>
                  <w:marTop w:val="0"/>
                  <w:marBottom w:val="0"/>
                  <w:divBdr>
                    <w:top w:val="none" w:sz="0" w:space="0" w:color="auto"/>
                    <w:left w:val="none" w:sz="0" w:space="0" w:color="auto"/>
                    <w:bottom w:val="none" w:sz="0" w:space="0" w:color="auto"/>
                    <w:right w:val="none" w:sz="0" w:space="0" w:color="auto"/>
                  </w:divBdr>
                  <w:divsChild>
                    <w:div w:id="938216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1532638">
      <w:bodyDiv w:val="1"/>
      <w:marLeft w:val="0"/>
      <w:marRight w:val="0"/>
      <w:marTop w:val="0"/>
      <w:marBottom w:val="0"/>
      <w:divBdr>
        <w:top w:val="none" w:sz="0" w:space="0" w:color="auto"/>
        <w:left w:val="none" w:sz="0" w:space="0" w:color="auto"/>
        <w:bottom w:val="none" w:sz="0" w:space="0" w:color="auto"/>
        <w:right w:val="none" w:sz="0" w:space="0" w:color="auto"/>
      </w:divBdr>
      <w:divsChild>
        <w:div w:id="1514494588">
          <w:marLeft w:val="0"/>
          <w:marRight w:val="0"/>
          <w:marTop w:val="0"/>
          <w:marBottom w:val="0"/>
          <w:divBdr>
            <w:top w:val="none" w:sz="0" w:space="0" w:color="auto"/>
            <w:left w:val="none" w:sz="0" w:space="0" w:color="auto"/>
            <w:bottom w:val="none" w:sz="0" w:space="0" w:color="auto"/>
            <w:right w:val="none" w:sz="0" w:space="0" w:color="auto"/>
          </w:divBdr>
          <w:divsChild>
            <w:div w:id="1664118801">
              <w:marLeft w:val="0"/>
              <w:marRight w:val="0"/>
              <w:marTop w:val="0"/>
              <w:marBottom w:val="0"/>
              <w:divBdr>
                <w:top w:val="none" w:sz="0" w:space="0" w:color="auto"/>
                <w:left w:val="none" w:sz="0" w:space="0" w:color="auto"/>
                <w:bottom w:val="none" w:sz="0" w:space="0" w:color="auto"/>
                <w:right w:val="none" w:sz="0" w:space="0" w:color="auto"/>
              </w:divBdr>
              <w:divsChild>
                <w:div w:id="1467965556">
                  <w:marLeft w:val="0"/>
                  <w:marRight w:val="0"/>
                  <w:marTop w:val="0"/>
                  <w:marBottom w:val="0"/>
                  <w:divBdr>
                    <w:top w:val="none" w:sz="0" w:space="0" w:color="auto"/>
                    <w:left w:val="none" w:sz="0" w:space="0" w:color="auto"/>
                    <w:bottom w:val="none" w:sz="0" w:space="0" w:color="auto"/>
                    <w:right w:val="none" w:sz="0" w:space="0" w:color="auto"/>
                  </w:divBdr>
                  <w:divsChild>
                    <w:div w:id="101343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8863906">
      <w:bodyDiv w:val="1"/>
      <w:marLeft w:val="0"/>
      <w:marRight w:val="0"/>
      <w:marTop w:val="0"/>
      <w:marBottom w:val="0"/>
      <w:divBdr>
        <w:top w:val="none" w:sz="0" w:space="0" w:color="auto"/>
        <w:left w:val="none" w:sz="0" w:space="0" w:color="auto"/>
        <w:bottom w:val="none" w:sz="0" w:space="0" w:color="auto"/>
        <w:right w:val="none" w:sz="0" w:space="0" w:color="auto"/>
      </w:divBdr>
      <w:divsChild>
        <w:div w:id="836649574">
          <w:marLeft w:val="0"/>
          <w:marRight w:val="0"/>
          <w:marTop w:val="0"/>
          <w:marBottom w:val="0"/>
          <w:divBdr>
            <w:top w:val="none" w:sz="0" w:space="0" w:color="auto"/>
            <w:left w:val="none" w:sz="0" w:space="0" w:color="auto"/>
            <w:bottom w:val="none" w:sz="0" w:space="0" w:color="auto"/>
            <w:right w:val="none" w:sz="0" w:space="0" w:color="auto"/>
          </w:divBdr>
          <w:divsChild>
            <w:div w:id="1189489101">
              <w:marLeft w:val="0"/>
              <w:marRight w:val="0"/>
              <w:marTop w:val="0"/>
              <w:marBottom w:val="0"/>
              <w:divBdr>
                <w:top w:val="none" w:sz="0" w:space="0" w:color="auto"/>
                <w:left w:val="none" w:sz="0" w:space="0" w:color="auto"/>
                <w:bottom w:val="none" w:sz="0" w:space="0" w:color="auto"/>
                <w:right w:val="none" w:sz="0" w:space="0" w:color="auto"/>
              </w:divBdr>
              <w:divsChild>
                <w:div w:id="666832412">
                  <w:marLeft w:val="0"/>
                  <w:marRight w:val="0"/>
                  <w:marTop w:val="0"/>
                  <w:marBottom w:val="0"/>
                  <w:divBdr>
                    <w:top w:val="none" w:sz="0" w:space="0" w:color="auto"/>
                    <w:left w:val="none" w:sz="0" w:space="0" w:color="auto"/>
                    <w:bottom w:val="none" w:sz="0" w:space="0" w:color="auto"/>
                    <w:right w:val="none" w:sz="0" w:space="0" w:color="auto"/>
                  </w:divBdr>
                  <w:divsChild>
                    <w:div w:id="644700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9399924">
      <w:bodyDiv w:val="1"/>
      <w:marLeft w:val="0"/>
      <w:marRight w:val="0"/>
      <w:marTop w:val="0"/>
      <w:marBottom w:val="0"/>
      <w:divBdr>
        <w:top w:val="none" w:sz="0" w:space="0" w:color="auto"/>
        <w:left w:val="none" w:sz="0" w:space="0" w:color="auto"/>
        <w:bottom w:val="none" w:sz="0" w:space="0" w:color="auto"/>
        <w:right w:val="none" w:sz="0" w:space="0" w:color="auto"/>
      </w:divBdr>
    </w:div>
    <w:div w:id="1813523077">
      <w:bodyDiv w:val="1"/>
      <w:marLeft w:val="0"/>
      <w:marRight w:val="0"/>
      <w:marTop w:val="0"/>
      <w:marBottom w:val="0"/>
      <w:divBdr>
        <w:top w:val="none" w:sz="0" w:space="0" w:color="auto"/>
        <w:left w:val="none" w:sz="0" w:space="0" w:color="auto"/>
        <w:bottom w:val="none" w:sz="0" w:space="0" w:color="auto"/>
        <w:right w:val="none" w:sz="0" w:space="0" w:color="auto"/>
      </w:divBdr>
    </w:div>
    <w:div w:id="1847550571">
      <w:bodyDiv w:val="1"/>
      <w:marLeft w:val="0"/>
      <w:marRight w:val="0"/>
      <w:marTop w:val="0"/>
      <w:marBottom w:val="0"/>
      <w:divBdr>
        <w:top w:val="none" w:sz="0" w:space="0" w:color="auto"/>
        <w:left w:val="none" w:sz="0" w:space="0" w:color="auto"/>
        <w:bottom w:val="none" w:sz="0" w:space="0" w:color="auto"/>
        <w:right w:val="none" w:sz="0" w:space="0" w:color="auto"/>
      </w:divBdr>
      <w:divsChild>
        <w:div w:id="76752204">
          <w:marLeft w:val="0"/>
          <w:marRight w:val="0"/>
          <w:marTop w:val="0"/>
          <w:marBottom w:val="0"/>
          <w:divBdr>
            <w:top w:val="none" w:sz="0" w:space="0" w:color="auto"/>
            <w:left w:val="none" w:sz="0" w:space="0" w:color="auto"/>
            <w:bottom w:val="none" w:sz="0" w:space="0" w:color="auto"/>
            <w:right w:val="none" w:sz="0" w:space="0" w:color="auto"/>
          </w:divBdr>
          <w:divsChild>
            <w:div w:id="1510489419">
              <w:marLeft w:val="0"/>
              <w:marRight w:val="0"/>
              <w:marTop w:val="0"/>
              <w:marBottom w:val="0"/>
              <w:divBdr>
                <w:top w:val="none" w:sz="0" w:space="0" w:color="auto"/>
                <w:left w:val="none" w:sz="0" w:space="0" w:color="auto"/>
                <w:bottom w:val="none" w:sz="0" w:space="0" w:color="auto"/>
                <w:right w:val="none" w:sz="0" w:space="0" w:color="auto"/>
              </w:divBdr>
              <w:divsChild>
                <w:div w:id="499271247">
                  <w:marLeft w:val="0"/>
                  <w:marRight w:val="0"/>
                  <w:marTop w:val="0"/>
                  <w:marBottom w:val="0"/>
                  <w:divBdr>
                    <w:top w:val="none" w:sz="0" w:space="0" w:color="auto"/>
                    <w:left w:val="none" w:sz="0" w:space="0" w:color="auto"/>
                    <w:bottom w:val="none" w:sz="0" w:space="0" w:color="auto"/>
                    <w:right w:val="none" w:sz="0" w:space="0" w:color="auto"/>
                  </w:divBdr>
                  <w:divsChild>
                    <w:div w:id="103581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2013242">
      <w:bodyDiv w:val="1"/>
      <w:marLeft w:val="0"/>
      <w:marRight w:val="0"/>
      <w:marTop w:val="0"/>
      <w:marBottom w:val="0"/>
      <w:divBdr>
        <w:top w:val="none" w:sz="0" w:space="0" w:color="auto"/>
        <w:left w:val="none" w:sz="0" w:space="0" w:color="auto"/>
        <w:bottom w:val="none" w:sz="0" w:space="0" w:color="auto"/>
        <w:right w:val="none" w:sz="0" w:space="0" w:color="auto"/>
      </w:divBdr>
      <w:divsChild>
        <w:div w:id="91126408">
          <w:marLeft w:val="0"/>
          <w:marRight w:val="0"/>
          <w:marTop w:val="0"/>
          <w:marBottom w:val="0"/>
          <w:divBdr>
            <w:top w:val="none" w:sz="0" w:space="0" w:color="auto"/>
            <w:left w:val="none" w:sz="0" w:space="0" w:color="auto"/>
            <w:bottom w:val="none" w:sz="0" w:space="0" w:color="auto"/>
            <w:right w:val="none" w:sz="0" w:space="0" w:color="auto"/>
          </w:divBdr>
          <w:divsChild>
            <w:div w:id="839584055">
              <w:marLeft w:val="0"/>
              <w:marRight w:val="0"/>
              <w:marTop w:val="0"/>
              <w:marBottom w:val="0"/>
              <w:divBdr>
                <w:top w:val="none" w:sz="0" w:space="0" w:color="auto"/>
                <w:left w:val="none" w:sz="0" w:space="0" w:color="auto"/>
                <w:bottom w:val="none" w:sz="0" w:space="0" w:color="auto"/>
                <w:right w:val="none" w:sz="0" w:space="0" w:color="auto"/>
              </w:divBdr>
              <w:divsChild>
                <w:div w:id="685835502">
                  <w:marLeft w:val="0"/>
                  <w:marRight w:val="0"/>
                  <w:marTop w:val="0"/>
                  <w:marBottom w:val="0"/>
                  <w:divBdr>
                    <w:top w:val="none" w:sz="0" w:space="0" w:color="auto"/>
                    <w:left w:val="none" w:sz="0" w:space="0" w:color="auto"/>
                    <w:bottom w:val="none" w:sz="0" w:space="0" w:color="auto"/>
                    <w:right w:val="none" w:sz="0" w:space="0" w:color="auto"/>
                  </w:divBdr>
                  <w:divsChild>
                    <w:div w:id="297608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3321412">
      <w:bodyDiv w:val="1"/>
      <w:marLeft w:val="0"/>
      <w:marRight w:val="0"/>
      <w:marTop w:val="0"/>
      <w:marBottom w:val="0"/>
      <w:divBdr>
        <w:top w:val="none" w:sz="0" w:space="0" w:color="auto"/>
        <w:left w:val="none" w:sz="0" w:space="0" w:color="auto"/>
        <w:bottom w:val="none" w:sz="0" w:space="0" w:color="auto"/>
        <w:right w:val="none" w:sz="0" w:space="0" w:color="auto"/>
      </w:divBdr>
      <w:divsChild>
        <w:div w:id="1886719543">
          <w:marLeft w:val="0"/>
          <w:marRight w:val="0"/>
          <w:marTop w:val="0"/>
          <w:marBottom w:val="0"/>
          <w:divBdr>
            <w:top w:val="none" w:sz="0" w:space="0" w:color="auto"/>
            <w:left w:val="none" w:sz="0" w:space="0" w:color="auto"/>
            <w:bottom w:val="none" w:sz="0" w:space="0" w:color="auto"/>
            <w:right w:val="none" w:sz="0" w:space="0" w:color="auto"/>
          </w:divBdr>
          <w:divsChild>
            <w:div w:id="1036272948">
              <w:marLeft w:val="0"/>
              <w:marRight w:val="0"/>
              <w:marTop w:val="0"/>
              <w:marBottom w:val="0"/>
              <w:divBdr>
                <w:top w:val="none" w:sz="0" w:space="0" w:color="auto"/>
                <w:left w:val="none" w:sz="0" w:space="0" w:color="auto"/>
                <w:bottom w:val="none" w:sz="0" w:space="0" w:color="auto"/>
                <w:right w:val="none" w:sz="0" w:space="0" w:color="auto"/>
              </w:divBdr>
              <w:divsChild>
                <w:div w:id="1690526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0799053">
      <w:bodyDiv w:val="1"/>
      <w:marLeft w:val="0"/>
      <w:marRight w:val="0"/>
      <w:marTop w:val="0"/>
      <w:marBottom w:val="0"/>
      <w:divBdr>
        <w:top w:val="none" w:sz="0" w:space="0" w:color="auto"/>
        <w:left w:val="none" w:sz="0" w:space="0" w:color="auto"/>
        <w:bottom w:val="none" w:sz="0" w:space="0" w:color="auto"/>
        <w:right w:val="none" w:sz="0" w:space="0" w:color="auto"/>
      </w:divBdr>
    </w:div>
    <w:div w:id="1897233927">
      <w:bodyDiv w:val="1"/>
      <w:marLeft w:val="0"/>
      <w:marRight w:val="0"/>
      <w:marTop w:val="0"/>
      <w:marBottom w:val="0"/>
      <w:divBdr>
        <w:top w:val="none" w:sz="0" w:space="0" w:color="auto"/>
        <w:left w:val="none" w:sz="0" w:space="0" w:color="auto"/>
        <w:bottom w:val="none" w:sz="0" w:space="0" w:color="auto"/>
        <w:right w:val="none" w:sz="0" w:space="0" w:color="auto"/>
      </w:divBdr>
    </w:div>
    <w:div w:id="1919359113">
      <w:bodyDiv w:val="1"/>
      <w:marLeft w:val="0"/>
      <w:marRight w:val="0"/>
      <w:marTop w:val="0"/>
      <w:marBottom w:val="0"/>
      <w:divBdr>
        <w:top w:val="none" w:sz="0" w:space="0" w:color="auto"/>
        <w:left w:val="none" w:sz="0" w:space="0" w:color="auto"/>
        <w:bottom w:val="none" w:sz="0" w:space="0" w:color="auto"/>
        <w:right w:val="none" w:sz="0" w:space="0" w:color="auto"/>
      </w:divBdr>
      <w:divsChild>
        <w:div w:id="661397382">
          <w:marLeft w:val="0"/>
          <w:marRight w:val="0"/>
          <w:marTop w:val="0"/>
          <w:marBottom w:val="0"/>
          <w:divBdr>
            <w:top w:val="none" w:sz="0" w:space="0" w:color="auto"/>
            <w:left w:val="none" w:sz="0" w:space="0" w:color="auto"/>
            <w:bottom w:val="none" w:sz="0" w:space="0" w:color="auto"/>
            <w:right w:val="none" w:sz="0" w:space="0" w:color="auto"/>
          </w:divBdr>
          <w:divsChild>
            <w:div w:id="1817409262">
              <w:marLeft w:val="0"/>
              <w:marRight w:val="0"/>
              <w:marTop w:val="0"/>
              <w:marBottom w:val="0"/>
              <w:divBdr>
                <w:top w:val="none" w:sz="0" w:space="0" w:color="auto"/>
                <w:left w:val="none" w:sz="0" w:space="0" w:color="auto"/>
                <w:bottom w:val="none" w:sz="0" w:space="0" w:color="auto"/>
                <w:right w:val="none" w:sz="0" w:space="0" w:color="auto"/>
              </w:divBdr>
              <w:divsChild>
                <w:div w:id="1165630595">
                  <w:marLeft w:val="0"/>
                  <w:marRight w:val="0"/>
                  <w:marTop w:val="0"/>
                  <w:marBottom w:val="0"/>
                  <w:divBdr>
                    <w:top w:val="none" w:sz="0" w:space="0" w:color="auto"/>
                    <w:left w:val="none" w:sz="0" w:space="0" w:color="auto"/>
                    <w:bottom w:val="none" w:sz="0" w:space="0" w:color="auto"/>
                    <w:right w:val="none" w:sz="0" w:space="0" w:color="auto"/>
                  </w:divBdr>
                  <w:divsChild>
                    <w:div w:id="764347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0823265">
      <w:bodyDiv w:val="1"/>
      <w:marLeft w:val="0"/>
      <w:marRight w:val="0"/>
      <w:marTop w:val="0"/>
      <w:marBottom w:val="0"/>
      <w:divBdr>
        <w:top w:val="none" w:sz="0" w:space="0" w:color="auto"/>
        <w:left w:val="none" w:sz="0" w:space="0" w:color="auto"/>
        <w:bottom w:val="none" w:sz="0" w:space="0" w:color="auto"/>
        <w:right w:val="none" w:sz="0" w:space="0" w:color="auto"/>
      </w:divBdr>
      <w:divsChild>
        <w:div w:id="215776461">
          <w:marLeft w:val="0"/>
          <w:marRight w:val="0"/>
          <w:marTop w:val="0"/>
          <w:marBottom w:val="0"/>
          <w:divBdr>
            <w:top w:val="none" w:sz="0" w:space="0" w:color="auto"/>
            <w:left w:val="none" w:sz="0" w:space="0" w:color="auto"/>
            <w:bottom w:val="none" w:sz="0" w:space="0" w:color="auto"/>
            <w:right w:val="none" w:sz="0" w:space="0" w:color="auto"/>
          </w:divBdr>
          <w:divsChild>
            <w:div w:id="1023896327">
              <w:marLeft w:val="0"/>
              <w:marRight w:val="0"/>
              <w:marTop w:val="0"/>
              <w:marBottom w:val="0"/>
              <w:divBdr>
                <w:top w:val="none" w:sz="0" w:space="0" w:color="auto"/>
                <w:left w:val="none" w:sz="0" w:space="0" w:color="auto"/>
                <w:bottom w:val="none" w:sz="0" w:space="0" w:color="auto"/>
                <w:right w:val="none" w:sz="0" w:space="0" w:color="auto"/>
              </w:divBdr>
              <w:divsChild>
                <w:div w:id="483131894">
                  <w:marLeft w:val="0"/>
                  <w:marRight w:val="0"/>
                  <w:marTop w:val="0"/>
                  <w:marBottom w:val="0"/>
                  <w:divBdr>
                    <w:top w:val="none" w:sz="0" w:space="0" w:color="auto"/>
                    <w:left w:val="none" w:sz="0" w:space="0" w:color="auto"/>
                    <w:bottom w:val="none" w:sz="0" w:space="0" w:color="auto"/>
                    <w:right w:val="none" w:sz="0" w:space="0" w:color="auto"/>
                  </w:divBdr>
                  <w:divsChild>
                    <w:div w:id="852498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1036415">
      <w:bodyDiv w:val="1"/>
      <w:marLeft w:val="0"/>
      <w:marRight w:val="0"/>
      <w:marTop w:val="0"/>
      <w:marBottom w:val="0"/>
      <w:divBdr>
        <w:top w:val="none" w:sz="0" w:space="0" w:color="auto"/>
        <w:left w:val="none" w:sz="0" w:space="0" w:color="auto"/>
        <w:bottom w:val="none" w:sz="0" w:space="0" w:color="auto"/>
        <w:right w:val="none" w:sz="0" w:space="0" w:color="auto"/>
      </w:divBdr>
      <w:divsChild>
        <w:div w:id="412973321">
          <w:marLeft w:val="0"/>
          <w:marRight w:val="0"/>
          <w:marTop w:val="0"/>
          <w:marBottom w:val="0"/>
          <w:divBdr>
            <w:top w:val="none" w:sz="0" w:space="0" w:color="auto"/>
            <w:left w:val="none" w:sz="0" w:space="0" w:color="auto"/>
            <w:bottom w:val="none" w:sz="0" w:space="0" w:color="auto"/>
            <w:right w:val="none" w:sz="0" w:space="0" w:color="auto"/>
          </w:divBdr>
          <w:divsChild>
            <w:div w:id="84320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595521">
      <w:bodyDiv w:val="1"/>
      <w:marLeft w:val="0"/>
      <w:marRight w:val="0"/>
      <w:marTop w:val="0"/>
      <w:marBottom w:val="0"/>
      <w:divBdr>
        <w:top w:val="none" w:sz="0" w:space="0" w:color="auto"/>
        <w:left w:val="none" w:sz="0" w:space="0" w:color="auto"/>
        <w:bottom w:val="none" w:sz="0" w:space="0" w:color="auto"/>
        <w:right w:val="none" w:sz="0" w:space="0" w:color="auto"/>
      </w:divBdr>
      <w:divsChild>
        <w:div w:id="1910531165">
          <w:marLeft w:val="0"/>
          <w:marRight w:val="0"/>
          <w:marTop w:val="0"/>
          <w:marBottom w:val="0"/>
          <w:divBdr>
            <w:top w:val="none" w:sz="0" w:space="0" w:color="auto"/>
            <w:left w:val="none" w:sz="0" w:space="0" w:color="auto"/>
            <w:bottom w:val="none" w:sz="0" w:space="0" w:color="auto"/>
            <w:right w:val="none" w:sz="0" w:space="0" w:color="auto"/>
          </w:divBdr>
          <w:divsChild>
            <w:div w:id="2055812129">
              <w:marLeft w:val="0"/>
              <w:marRight w:val="0"/>
              <w:marTop w:val="0"/>
              <w:marBottom w:val="0"/>
              <w:divBdr>
                <w:top w:val="none" w:sz="0" w:space="0" w:color="auto"/>
                <w:left w:val="none" w:sz="0" w:space="0" w:color="auto"/>
                <w:bottom w:val="none" w:sz="0" w:space="0" w:color="auto"/>
                <w:right w:val="none" w:sz="0" w:space="0" w:color="auto"/>
              </w:divBdr>
              <w:divsChild>
                <w:div w:id="1419401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8639151">
      <w:bodyDiv w:val="1"/>
      <w:marLeft w:val="0"/>
      <w:marRight w:val="0"/>
      <w:marTop w:val="0"/>
      <w:marBottom w:val="0"/>
      <w:divBdr>
        <w:top w:val="none" w:sz="0" w:space="0" w:color="auto"/>
        <w:left w:val="none" w:sz="0" w:space="0" w:color="auto"/>
        <w:bottom w:val="none" w:sz="0" w:space="0" w:color="auto"/>
        <w:right w:val="none" w:sz="0" w:space="0" w:color="auto"/>
      </w:divBdr>
    </w:div>
    <w:div w:id="1968508645">
      <w:bodyDiv w:val="1"/>
      <w:marLeft w:val="0"/>
      <w:marRight w:val="0"/>
      <w:marTop w:val="0"/>
      <w:marBottom w:val="0"/>
      <w:divBdr>
        <w:top w:val="none" w:sz="0" w:space="0" w:color="auto"/>
        <w:left w:val="none" w:sz="0" w:space="0" w:color="auto"/>
        <w:bottom w:val="none" w:sz="0" w:space="0" w:color="auto"/>
        <w:right w:val="none" w:sz="0" w:space="0" w:color="auto"/>
      </w:divBdr>
      <w:divsChild>
        <w:div w:id="1344286956">
          <w:marLeft w:val="0"/>
          <w:marRight w:val="0"/>
          <w:marTop w:val="0"/>
          <w:marBottom w:val="0"/>
          <w:divBdr>
            <w:top w:val="none" w:sz="0" w:space="0" w:color="auto"/>
            <w:left w:val="none" w:sz="0" w:space="0" w:color="auto"/>
            <w:bottom w:val="none" w:sz="0" w:space="0" w:color="auto"/>
            <w:right w:val="none" w:sz="0" w:space="0" w:color="auto"/>
          </w:divBdr>
        </w:div>
        <w:div w:id="1506820309">
          <w:marLeft w:val="0"/>
          <w:marRight w:val="0"/>
          <w:marTop w:val="0"/>
          <w:marBottom w:val="0"/>
          <w:divBdr>
            <w:top w:val="none" w:sz="0" w:space="0" w:color="auto"/>
            <w:left w:val="none" w:sz="0" w:space="0" w:color="auto"/>
            <w:bottom w:val="none" w:sz="0" w:space="0" w:color="auto"/>
            <w:right w:val="none" w:sz="0" w:space="0" w:color="auto"/>
          </w:divBdr>
        </w:div>
        <w:div w:id="1376781966">
          <w:marLeft w:val="0"/>
          <w:marRight w:val="0"/>
          <w:marTop w:val="0"/>
          <w:marBottom w:val="0"/>
          <w:divBdr>
            <w:top w:val="none" w:sz="0" w:space="0" w:color="auto"/>
            <w:left w:val="none" w:sz="0" w:space="0" w:color="auto"/>
            <w:bottom w:val="none" w:sz="0" w:space="0" w:color="auto"/>
            <w:right w:val="none" w:sz="0" w:space="0" w:color="auto"/>
          </w:divBdr>
        </w:div>
      </w:divsChild>
    </w:div>
    <w:div w:id="1976449366">
      <w:bodyDiv w:val="1"/>
      <w:marLeft w:val="0"/>
      <w:marRight w:val="0"/>
      <w:marTop w:val="0"/>
      <w:marBottom w:val="0"/>
      <w:divBdr>
        <w:top w:val="none" w:sz="0" w:space="0" w:color="auto"/>
        <w:left w:val="none" w:sz="0" w:space="0" w:color="auto"/>
        <w:bottom w:val="none" w:sz="0" w:space="0" w:color="auto"/>
        <w:right w:val="none" w:sz="0" w:space="0" w:color="auto"/>
      </w:divBdr>
      <w:divsChild>
        <w:div w:id="1707177188">
          <w:marLeft w:val="0"/>
          <w:marRight w:val="0"/>
          <w:marTop w:val="0"/>
          <w:marBottom w:val="0"/>
          <w:divBdr>
            <w:top w:val="none" w:sz="0" w:space="0" w:color="auto"/>
            <w:left w:val="none" w:sz="0" w:space="0" w:color="auto"/>
            <w:bottom w:val="none" w:sz="0" w:space="0" w:color="auto"/>
            <w:right w:val="none" w:sz="0" w:space="0" w:color="auto"/>
          </w:divBdr>
          <w:divsChild>
            <w:div w:id="877741961">
              <w:marLeft w:val="0"/>
              <w:marRight w:val="0"/>
              <w:marTop w:val="0"/>
              <w:marBottom w:val="0"/>
              <w:divBdr>
                <w:top w:val="none" w:sz="0" w:space="0" w:color="auto"/>
                <w:left w:val="none" w:sz="0" w:space="0" w:color="auto"/>
                <w:bottom w:val="none" w:sz="0" w:space="0" w:color="auto"/>
                <w:right w:val="none" w:sz="0" w:space="0" w:color="auto"/>
              </w:divBdr>
              <w:divsChild>
                <w:div w:id="112289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601122">
      <w:bodyDiv w:val="1"/>
      <w:marLeft w:val="0"/>
      <w:marRight w:val="0"/>
      <w:marTop w:val="0"/>
      <w:marBottom w:val="0"/>
      <w:divBdr>
        <w:top w:val="none" w:sz="0" w:space="0" w:color="auto"/>
        <w:left w:val="none" w:sz="0" w:space="0" w:color="auto"/>
        <w:bottom w:val="none" w:sz="0" w:space="0" w:color="auto"/>
        <w:right w:val="none" w:sz="0" w:space="0" w:color="auto"/>
      </w:divBdr>
    </w:div>
    <w:div w:id="2009094872">
      <w:bodyDiv w:val="1"/>
      <w:marLeft w:val="0"/>
      <w:marRight w:val="0"/>
      <w:marTop w:val="0"/>
      <w:marBottom w:val="0"/>
      <w:divBdr>
        <w:top w:val="none" w:sz="0" w:space="0" w:color="auto"/>
        <w:left w:val="none" w:sz="0" w:space="0" w:color="auto"/>
        <w:bottom w:val="none" w:sz="0" w:space="0" w:color="auto"/>
        <w:right w:val="none" w:sz="0" w:space="0" w:color="auto"/>
      </w:divBdr>
      <w:divsChild>
        <w:div w:id="617486844">
          <w:marLeft w:val="0"/>
          <w:marRight w:val="0"/>
          <w:marTop w:val="0"/>
          <w:marBottom w:val="0"/>
          <w:divBdr>
            <w:top w:val="none" w:sz="0" w:space="0" w:color="auto"/>
            <w:left w:val="none" w:sz="0" w:space="0" w:color="auto"/>
            <w:bottom w:val="none" w:sz="0" w:space="0" w:color="auto"/>
            <w:right w:val="none" w:sz="0" w:space="0" w:color="auto"/>
          </w:divBdr>
          <w:divsChild>
            <w:div w:id="1717853748">
              <w:marLeft w:val="0"/>
              <w:marRight w:val="0"/>
              <w:marTop w:val="0"/>
              <w:marBottom w:val="0"/>
              <w:divBdr>
                <w:top w:val="none" w:sz="0" w:space="0" w:color="auto"/>
                <w:left w:val="none" w:sz="0" w:space="0" w:color="auto"/>
                <w:bottom w:val="none" w:sz="0" w:space="0" w:color="auto"/>
                <w:right w:val="none" w:sz="0" w:space="0" w:color="auto"/>
              </w:divBdr>
              <w:divsChild>
                <w:div w:id="933052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2873175">
      <w:bodyDiv w:val="1"/>
      <w:marLeft w:val="0"/>
      <w:marRight w:val="0"/>
      <w:marTop w:val="0"/>
      <w:marBottom w:val="0"/>
      <w:divBdr>
        <w:top w:val="none" w:sz="0" w:space="0" w:color="auto"/>
        <w:left w:val="none" w:sz="0" w:space="0" w:color="auto"/>
        <w:bottom w:val="none" w:sz="0" w:space="0" w:color="auto"/>
        <w:right w:val="none" w:sz="0" w:space="0" w:color="auto"/>
      </w:divBdr>
      <w:divsChild>
        <w:div w:id="760099650">
          <w:marLeft w:val="0"/>
          <w:marRight w:val="0"/>
          <w:marTop w:val="0"/>
          <w:marBottom w:val="0"/>
          <w:divBdr>
            <w:top w:val="none" w:sz="0" w:space="0" w:color="auto"/>
            <w:left w:val="none" w:sz="0" w:space="0" w:color="auto"/>
            <w:bottom w:val="none" w:sz="0" w:space="0" w:color="auto"/>
            <w:right w:val="none" w:sz="0" w:space="0" w:color="auto"/>
          </w:divBdr>
          <w:divsChild>
            <w:div w:id="550727332">
              <w:marLeft w:val="0"/>
              <w:marRight w:val="0"/>
              <w:marTop w:val="0"/>
              <w:marBottom w:val="0"/>
              <w:divBdr>
                <w:top w:val="none" w:sz="0" w:space="0" w:color="auto"/>
                <w:left w:val="none" w:sz="0" w:space="0" w:color="auto"/>
                <w:bottom w:val="none" w:sz="0" w:space="0" w:color="auto"/>
                <w:right w:val="none" w:sz="0" w:space="0" w:color="auto"/>
              </w:divBdr>
              <w:divsChild>
                <w:div w:id="1491169802">
                  <w:marLeft w:val="0"/>
                  <w:marRight w:val="0"/>
                  <w:marTop w:val="0"/>
                  <w:marBottom w:val="0"/>
                  <w:divBdr>
                    <w:top w:val="none" w:sz="0" w:space="0" w:color="auto"/>
                    <w:left w:val="none" w:sz="0" w:space="0" w:color="auto"/>
                    <w:bottom w:val="none" w:sz="0" w:space="0" w:color="auto"/>
                    <w:right w:val="none" w:sz="0" w:space="0" w:color="auto"/>
                  </w:divBdr>
                  <w:divsChild>
                    <w:div w:id="581257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456605">
      <w:bodyDiv w:val="1"/>
      <w:marLeft w:val="0"/>
      <w:marRight w:val="0"/>
      <w:marTop w:val="0"/>
      <w:marBottom w:val="0"/>
      <w:divBdr>
        <w:top w:val="none" w:sz="0" w:space="0" w:color="auto"/>
        <w:left w:val="none" w:sz="0" w:space="0" w:color="auto"/>
        <w:bottom w:val="none" w:sz="0" w:space="0" w:color="auto"/>
        <w:right w:val="none" w:sz="0" w:space="0" w:color="auto"/>
      </w:divBdr>
      <w:divsChild>
        <w:div w:id="781341218">
          <w:marLeft w:val="0"/>
          <w:marRight w:val="0"/>
          <w:marTop w:val="0"/>
          <w:marBottom w:val="0"/>
          <w:divBdr>
            <w:top w:val="none" w:sz="0" w:space="0" w:color="auto"/>
            <w:left w:val="none" w:sz="0" w:space="0" w:color="auto"/>
            <w:bottom w:val="none" w:sz="0" w:space="0" w:color="auto"/>
            <w:right w:val="none" w:sz="0" w:space="0" w:color="auto"/>
          </w:divBdr>
          <w:divsChild>
            <w:div w:id="950283642">
              <w:marLeft w:val="0"/>
              <w:marRight w:val="0"/>
              <w:marTop w:val="0"/>
              <w:marBottom w:val="0"/>
              <w:divBdr>
                <w:top w:val="none" w:sz="0" w:space="0" w:color="auto"/>
                <w:left w:val="none" w:sz="0" w:space="0" w:color="auto"/>
                <w:bottom w:val="none" w:sz="0" w:space="0" w:color="auto"/>
                <w:right w:val="none" w:sz="0" w:space="0" w:color="auto"/>
              </w:divBdr>
              <w:divsChild>
                <w:div w:id="1832408485">
                  <w:marLeft w:val="0"/>
                  <w:marRight w:val="0"/>
                  <w:marTop w:val="0"/>
                  <w:marBottom w:val="0"/>
                  <w:divBdr>
                    <w:top w:val="none" w:sz="0" w:space="0" w:color="auto"/>
                    <w:left w:val="none" w:sz="0" w:space="0" w:color="auto"/>
                    <w:bottom w:val="none" w:sz="0" w:space="0" w:color="auto"/>
                    <w:right w:val="none" w:sz="0" w:space="0" w:color="auto"/>
                  </w:divBdr>
                  <w:divsChild>
                    <w:div w:id="867455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7802150">
      <w:bodyDiv w:val="1"/>
      <w:marLeft w:val="0"/>
      <w:marRight w:val="0"/>
      <w:marTop w:val="0"/>
      <w:marBottom w:val="0"/>
      <w:divBdr>
        <w:top w:val="none" w:sz="0" w:space="0" w:color="auto"/>
        <w:left w:val="none" w:sz="0" w:space="0" w:color="auto"/>
        <w:bottom w:val="none" w:sz="0" w:space="0" w:color="auto"/>
        <w:right w:val="none" w:sz="0" w:space="0" w:color="auto"/>
      </w:divBdr>
    </w:div>
    <w:div w:id="2018267873">
      <w:bodyDiv w:val="1"/>
      <w:marLeft w:val="0"/>
      <w:marRight w:val="0"/>
      <w:marTop w:val="0"/>
      <w:marBottom w:val="0"/>
      <w:divBdr>
        <w:top w:val="none" w:sz="0" w:space="0" w:color="auto"/>
        <w:left w:val="none" w:sz="0" w:space="0" w:color="auto"/>
        <w:bottom w:val="none" w:sz="0" w:space="0" w:color="auto"/>
        <w:right w:val="none" w:sz="0" w:space="0" w:color="auto"/>
      </w:divBdr>
      <w:divsChild>
        <w:div w:id="198783713">
          <w:marLeft w:val="0"/>
          <w:marRight w:val="0"/>
          <w:marTop w:val="0"/>
          <w:marBottom w:val="0"/>
          <w:divBdr>
            <w:top w:val="none" w:sz="0" w:space="0" w:color="auto"/>
            <w:left w:val="none" w:sz="0" w:space="0" w:color="auto"/>
            <w:bottom w:val="none" w:sz="0" w:space="0" w:color="auto"/>
            <w:right w:val="none" w:sz="0" w:space="0" w:color="auto"/>
          </w:divBdr>
        </w:div>
        <w:div w:id="451049002">
          <w:marLeft w:val="0"/>
          <w:marRight w:val="0"/>
          <w:marTop w:val="0"/>
          <w:marBottom w:val="0"/>
          <w:divBdr>
            <w:top w:val="none" w:sz="0" w:space="0" w:color="auto"/>
            <w:left w:val="none" w:sz="0" w:space="0" w:color="auto"/>
            <w:bottom w:val="none" w:sz="0" w:space="0" w:color="auto"/>
            <w:right w:val="none" w:sz="0" w:space="0" w:color="auto"/>
          </w:divBdr>
        </w:div>
        <w:div w:id="703946417">
          <w:marLeft w:val="0"/>
          <w:marRight w:val="0"/>
          <w:marTop w:val="0"/>
          <w:marBottom w:val="0"/>
          <w:divBdr>
            <w:top w:val="none" w:sz="0" w:space="0" w:color="auto"/>
            <w:left w:val="none" w:sz="0" w:space="0" w:color="auto"/>
            <w:bottom w:val="none" w:sz="0" w:space="0" w:color="auto"/>
            <w:right w:val="none" w:sz="0" w:space="0" w:color="auto"/>
          </w:divBdr>
        </w:div>
        <w:div w:id="1139763193">
          <w:marLeft w:val="0"/>
          <w:marRight w:val="0"/>
          <w:marTop w:val="0"/>
          <w:marBottom w:val="0"/>
          <w:divBdr>
            <w:top w:val="none" w:sz="0" w:space="0" w:color="auto"/>
            <w:left w:val="none" w:sz="0" w:space="0" w:color="auto"/>
            <w:bottom w:val="none" w:sz="0" w:space="0" w:color="auto"/>
            <w:right w:val="none" w:sz="0" w:space="0" w:color="auto"/>
          </w:divBdr>
        </w:div>
        <w:div w:id="1573390380">
          <w:marLeft w:val="0"/>
          <w:marRight w:val="0"/>
          <w:marTop w:val="0"/>
          <w:marBottom w:val="0"/>
          <w:divBdr>
            <w:top w:val="none" w:sz="0" w:space="0" w:color="auto"/>
            <w:left w:val="none" w:sz="0" w:space="0" w:color="auto"/>
            <w:bottom w:val="none" w:sz="0" w:space="0" w:color="auto"/>
            <w:right w:val="none" w:sz="0" w:space="0" w:color="auto"/>
          </w:divBdr>
        </w:div>
        <w:div w:id="1607886594">
          <w:marLeft w:val="0"/>
          <w:marRight w:val="0"/>
          <w:marTop w:val="0"/>
          <w:marBottom w:val="0"/>
          <w:divBdr>
            <w:top w:val="none" w:sz="0" w:space="0" w:color="auto"/>
            <w:left w:val="none" w:sz="0" w:space="0" w:color="auto"/>
            <w:bottom w:val="none" w:sz="0" w:space="0" w:color="auto"/>
            <w:right w:val="none" w:sz="0" w:space="0" w:color="auto"/>
          </w:divBdr>
        </w:div>
        <w:div w:id="1654674020">
          <w:marLeft w:val="0"/>
          <w:marRight w:val="0"/>
          <w:marTop w:val="0"/>
          <w:marBottom w:val="0"/>
          <w:divBdr>
            <w:top w:val="none" w:sz="0" w:space="0" w:color="auto"/>
            <w:left w:val="none" w:sz="0" w:space="0" w:color="auto"/>
            <w:bottom w:val="none" w:sz="0" w:space="0" w:color="auto"/>
            <w:right w:val="none" w:sz="0" w:space="0" w:color="auto"/>
          </w:divBdr>
        </w:div>
        <w:div w:id="1925794236">
          <w:marLeft w:val="0"/>
          <w:marRight w:val="0"/>
          <w:marTop w:val="0"/>
          <w:marBottom w:val="0"/>
          <w:divBdr>
            <w:top w:val="none" w:sz="0" w:space="0" w:color="auto"/>
            <w:left w:val="none" w:sz="0" w:space="0" w:color="auto"/>
            <w:bottom w:val="none" w:sz="0" w:space="0" w:color="auto"/>
            <w:right w:val="none" w:sz="0" w:space="0" w:color="auto"/>
          </w:divBdr>
        </w:div>
      </w:divsChild>
    </w:div>
    <w:div w:id="2029596468">
      <w:bodyDiv w:val="1"/>
      <w:marLeft w:val="0"/>
      <w:marRight w:val="0"/>
      <w:marTop w:val="0"/>
      <w:marBottom w:val="0"/>
      <w:divBdr>
        <w:top w:val="none" w:sz="0" w:space="0" w:color="auto"/>
        <w:left w:val="none" w:sz="0" w:space="0" w:color="auto"/>
        <w:bottom w:val="none" w:sz="0" w:space="0" w:color="auto"/>
        <w:right w:val="none" w:sz="0" w:space="0" w:color="auto"/>
      </w:divBdr>
      <w:divsChild>
        <w:div w:id="56049975">
          <w:marLeft w:val="0"/>
          <w:marRight w:val="0"/>
          <w:marTop w:val="0"/>
          <w:marBottom w:val="0"/>
          <w:divBdr>
            <w:top w:val="none" w:sz="0" w:space="0" w:color="auto"/>
            <w:left w:val="none" w:sz="0" w:space="0" w:color="auto"/>
            <w:bottom w:val="none" w:sz="0" w:space="0" w:color="auto"/>
            <w:right w:val="none" w:sz="0" w:space="0" w:color="auto"/>
          </w:divBdr>
          <w:divsChild>
            <w:div w:id="1387024700">
              <w:marLeft w:val="0"/>
              <w:marRight w:val="0"/>
              <w:marTop w:val="0"/>
              <w:marBottom w:val="0"/>
              <w:divBdr>
                <w:top w:val="none" w:sz="0" w:space="0" w:color="auto"/>
                <w:left w:val="none" w:sz="0" w:space="0" w:color="auto"/>
                <w:bottom w:val="none" w:sz="0" w:space="0" w:color="auto"/>
                <w:right w:val="none" w:sz="0" w:space="0" w:color="auto"/>
              </w:divBdr>
              <w:divsChild>
                <w:div w:id="1152523361">
                  <w:marLeft w:val="0"/>
                  <w:marRight w:val="0"/>
                  <w:marTop w:val="0"/>
                  <w:marBottom w:val="0"/>
                  <w:divBdr>
                    <w:top w:val="none" w:sz="0" w:space="0" w:color="auto"/>
                    <w:left w:val="none" w:sz="0" w:space="0" w:color="auto"/>
                    <w:bottom w:val="none" w:sz="0" w:space="0" w:color="auto"/>
                    <w:right w:val="none" w:sz="0" w:space="0" w:color="auto"/>
                  </w:divBdr>
                  <w:divsChild>
                    <w:div w:id="71976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0988063">
      <w:bodyDiv w:val="1"/>
      <w:marLeft w:val="0"/>
      <w:marRight w:val="0"/>
      <w:marTop w:val="0"/>
      <w:marBottom w:val="0"/>
      <w:divBdr>
        <w:top w:val="none" w:sz="0" w:space="0" w:color="auto"/>
        <w:left w:val="none" w:sz="0" w:space="0" w:color="auto"/>
        <w:bottom w:val="none" w:sz="0" w:space="0" w:color="auto"/>
        <w:right w:val="none" w:sz="0" w:space="0" w:color="auto"/>
      </w:divBdr>
      <w:divsChild>
        <w:div w:id="1916931863">
          <w:marLeft w:val="0"/>
          <w:marRight w:val="0"/>
          <w:marTop w:val="0"/>
          <w:marBottom w:val="0"/>
          <w:divBdr>
            <w:top w:val="none" w:sz="0" w:space="0" w:color="auto"/>
            <w:left w:val="none" w:sz="0" w:space="0" w:color="auto"/>
            <w:bottom w:val="none" w:sz="0" w:space="0" w:color="auto"/>
            <w:right w:val="none" w:sz="0" w:space="0" w:color="auto"/>
          </w:divBdr>
          <w:divsChild>
            <w:div w:id="1933511207">
              <w:marLeft w:val="0"/>
              <w:marRight w:val="0"/>
              <w:marTop w:val="0"/>
              <w:marBottom w:val="0"/>
              <w:divBdr>
                <w:top w:val="none" w:sz="0" w:space="0" w:color="auto"/>
                <w:left w:val="none" w:sz="0" w:space="0" w:color="auto"/>
                <w:bottom w:val="none" w:sz="0" w:space="0" w:color="auto"/>
                <w:right w:val="none" w:sz="0" w:space="0" w:color="auto"/>
              </w:divBdr>
              <w:divsChild>
                <w:div w:id="677004793">
                  <w:marLeft w:val="0"/>
                  <w:marRight w:val="0"/>
                  <w:marTop w:val="0"/>
                  <w:marBottom w:val="0"/>
                  <w:divBdr>
                    <w:top w:val="none" w:sz="0" w:space="0" w:color="auto"/>
                    <w:left w:val="none" w:sz="0" w:space="0" w:color="auto"/>
                    <w:bottom w:val="none" w:sz="0" w:space="0" w:color="auto"/>
                    <w:right w:val="none" w:sz="0" w:space="0" w:color="auto"/>
                  </w:divBdr>
                  <w:divsChild>
                    <w:div w:id="1751006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8313892">
      <w:bodyDiv w:val="1"/>
      <w:marLeft w:val="0"/>
      <w:marRight w:val="0"/>
      <w:marTop w:val="0"/>
      <w:marBottom w:val="0"/>
      <w:divBdr>
        <w:top w:val="none" w:sz="0" w:space="0" w:color="auto"/>
        <w:left w:val="none" w:sz="0" w:space="0" w:color="auto"/>
        <w:bottom w:val="none" w:sz="0" w:space="0" w:color="auto"/>
        <w:right w:val="none" w:sz="0" w:space="0" w:color="auto"/>
      </w:divBdr>
      <w:divsChild>
        <w:div w:id="2087190591">
          <w:marLeft w:val="0"/>
          <w:marRight w:val="0"/>
          <w:marTop w:val="0"/>
          <w:marBottom w:val="0"/>
          <w:divBdr>
            <w:top w:val="none" w:sz="0" w:space="0" w:color="auto"/>
            <w:left w:val="none" w:sz="0" w:space="0" w:color="auto"/>
            <w:bottom w:val="none" w:sz="0" w:space="0" w:color="auto"/>
            <w:right w:val="none" w:sz="0" w:space="0" w:color="auto"/>
          </w:divBdr>
          <w:divsChild>
            <w:div w:id="1311011618">
              <w:marLeft w:val="0"/>
              <w:marRight w:val="0"/>
              <w:marTop w:val="0"/>
              <w:marBottom w:val="0"/>
              <w:divBdr>
                <w:top w:val="none" w:sz="0" w:space="0" w:color="auto"/>
                <w:left w:val="none" w:sz="0" w:space="0" w:color="auto"/>
                <w:bottom w:val="none" w:sz="0" w:space="0" w:color="auto"/>
                <w:right w:val="none" w:sz="0" w:space="0" w:color="auto"/>
              </w:divBdr>
              <w:divsChild>
                <w:div w:id="1612130679">
                  <w:marLeft w:val="0"/>
                  <w:marRight w:val="0"/>
                  <w:marTop w:val="0"/>
                  <w:marBottom w:val="0"/>
                  <w:divBdr>
                    <w:top w:val="none" w:sz="0" w:space="0" w:color="auto"/>
                    <w:left w:val="none" w:sz="0" w:space="0" w:color="auto"/>
                    <w:bottom w:val="none" w:sz="0" w:space="0" w:color="auto"/>
                    <w:right w:val="none" w:sz="0" w:space="0" w:color="auto"/>
                  </w:divBdr>
                  <w:divsChild>
                    <w:div w:id="627051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9963810">
      <w:bodyDiv w:val="1"/>
      <w:marLeft w:val="0"/>
      <w:marRight w:val="0"/>
      <w:marTop w:val="0"/>
      <w:marBottom w:val="0"/>
      <w:divBdr>
        <w:top w:val="none" w:sz="0" w:space="0" w:color="auto"/>
        <w:left w:val="none" w:sz="0" w:space="0" w:color="auto"/>
        <w:bottom w:val="none" w:sz="0" w:space="0" w:color="auto"/>
        <w:right w:val="none" w:sz="0" w:space="0" w:color="auto"/>
      </w:divBdr>
      <w:divsChild>
        <w:div w:id="583301258">
          <w:marLeft w:val="0"/>
          <w:marRight w:val="0"/>
          <w:marTop w:val="0"/>
          <w:marBottom w:val="0"/>
          <w:divBdr>
            <w:top w:val="none" w:sz="0" w:space="0" w:color="auto"/>
            <w:left w:val="none" w:sz="0" w:space="0" w:color="auto"/>
            <w:bottom w:val="none" w:sz="0" w:space="0" w:color="auto"/>
            <w:right w:val="none" w:sz="0" w:space="0" w:color="auto"/>
          </w:divBdr>
          <w:divsChild>
            <w:div w:id="1283027990">
              <w:marLeft w:val="0"/>
              <w:marRight w:val="0"/>
              <w:marTop w:val="0"/>
              <w:marBottom w:val="0"/>
              <w:divBdr>
                <w:top w:val="none" w:sz="0" w:space="0" w:color="auto"/>
                <w:left w:val="none" w:sz="0" w:space="0" w:color="auto"/>
                <w:bottom w:val="none" w:sz="0" w:space="0" w:color="auto"/>
                <w:right w:val="none" w:sz="0" w:space="0" w:color="auto"/>
              </w:divBdr>
              <w:divsChild>
                <w:div w:id="1457945937">
                  <w:marLeft w:val="0"/>
                  <w:marRight w:val="0"/>
                  <w:marTop w:val="0"/>
                  <w:marBottom w:val="0"/>
                  <w:divBdr>
                    <w:top w:val="none" w:sz="0" w:space="0" w:color="auto"/>
                    <w:left w:val="none" w:sz="0" w:space="0" w:color="auto"/>
                    <w:bottom w:val="none" w:sz="0" w:space="0" w:color="auto"/>
                    <w:right w:val="none" w:sz="0" w:space="0" w:color="auto"/>
                  </w:divBdr>
                  <w:divsChild>
                    <w:div w:id="1040596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9807843">
      <w:bodyDiv w:val="1"/>
      <w:marLeft w:val="0"/>
      <w:marRight w:val="0"/>
      <w:marTop w:val="0"/>
      <w:marBottom w:val="0"/>
      <w:divBdr>
        <w:top w:val="none" w:sz="0" w:space="0" w:color="auto"/>
        <w:left w:val="none" w:sz="0" w:space="0" w:color="auto"/>
        <w:bottom w:val="none" w:sz="0" w:space="0" w:color="auto"/>
        <w:right w:val="none" w:sz="0" w:space="0" w:color="auto"/>
      </w:divBdr>
      <w:divsChild>
        <w:div w:id="1437749303">
          <w:marLeft w:val="0"/>
          <w:marRight w:val="0"/>
          <w:marTop w:val="0"/>
          <w:marBottom w:val="0"/>
          <w:divBdr>
            <w:top w:val="none" w:sz="0" w:space="0" w:color="auto"/>
            <w:left w:val="none" w:sz="0" w:space="0" w:color="auto"/>
            <w:bottom w:val="none" w:sz="0" w:space="0" w:color="auto"/>
            <w:right w:val="none" w:sz="0" w:space="0" w:color="auto"/>
          </w:divBdr>
          <w:divsChild>
            <w:div w:id="628434208">
              <w:marLeft w:val="0"/>
              <w:marRight w:val="0"/>
              <w:marTop w:val="0"/>
              <w:marBottom w:val="0"/>
              <w:divBdr>
                <w:top w:val="none" w:sz="0" w:space="0" w:color="auto"/>
                <w:left w:val="none" w:sz="0" w:space="0" w:color="auto"/>
                <w:bottom w:val="none" w:sz="0" w:space="0" w:color="auto"/>
                <w:right w:val="none" w:sz="0" w:space="0" w:color="auto"/>
              </w:divBdr>
              <w:divsChild>
                <w:div w:id="1470853342">
                  <w:marLeft w:val="0"/>
                  <w:marRight w:val="0"/>
                  <w:marTop w:val="0"/>
                  <w:marBottom w:val="0"/>
                  <w:divBdr>
                    <w:top w:val="none" w:sz="0" w:space="0" w:color="auto"/>
                    <w:left w:val="none" w:sz="0" w:space="0" w:color="auto"/>
                    <w:bottom w:val="none" w:sz="0" w:space="0" w:color="auto"/>
                    <w:right w:val="none" w:sz="0" w:space="0" w:color="auto"/>
                  </w:divBdr>
                  <w:divsChild>
                    <w:div w:id="396636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4083445">
      <w:bodyDiv w:val="1"/>
      <w:marLeft w:val="0"/>
      <w:marRight w:val="0"/>
      <w:marTop w:val="0"/>
      <w:marBottom w:val="0"/>
      <w:divBdr>
        <w:top w:val="none" w:sz="0" w:space="0" w:color="auto"/>
        <w:left w:val="none" w:sz="0" w:space="0" w:color="auto"/>
        <w:bottom w:val="none" w:sz="0" w:space="0" w:color="auto"/>
        <w:right w:val="none" w:sz="0" w:space="0" w:color="auto"/>
      </w:divBdr>
      <w:divsChild>
        <w:div w:id="1296175355">
          <w:marLeft w:val="0"/>
          <w:marRight w:val="0"/>
          <w:marTop w:val="0"/>
          <w:marBottom w:val="0"/>
          <w:divBdr>
            <w:top w:val="none" w:sz="0" w:space="0" w:color="auto"/>
            <w:left w:val="none" w:sz="0" w:space="0" w:color="auto"/>
            <w:bottom w:val="none" w:sz="0" w:space="0" w:color="auto"/>
            <w:right w:val="none" w:sz="0" w:space="0" w:color="auto"/>
          </w:divBdr>
          <w:divsChild>
            <w:div w:id="391543865">
              <w:marLeft w:val="0"/>
              <w:marRight w:val="0"/>
              <w:marTop w:val="0"/>
              <w:marBottom w:val="0"/>
              <w:divBdr>
                <w:top w:val="none" w:sz="0" w:space="0" w:color="auto"/>
                <w:left w:val="none" w:sz="0" w:space="0" w:color="auto"/>
                <w:bottom w:val="none" w:sz="0" w:space="0" w:color="auto"/>
                <w:right w:val="none" w:sz="0" w:space="0" w:color="auto"/>
              </w:divBdr>
              <w:divsChild>
                <w:div w:id="869800145">
                  <w:marLeft w:val="0"/>
                  <w:marRight w:val="0"/>
                  <w:marTop w:val="0"/>
                  <w:marBottom w:val="0"/>
                  <w:divBdr>
                    <w:top w:val="none" w:sz="0" w:space="0" w:color="auto"/>
                    <w:left w:val="none" w:sz="0" w:space="0" w:color="auto"/>
                    <w:bottom w:val="none" w:sz="0" w:space="0" w:color="auto"/>
                    <w:right w:val="none" w:sz="0" w:space="0" w:color="auto"/>
                  </w:divBdr>
                  <w:divsChild>
                    <w:div w:id="455025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115739">
      <w:bodyDiv w:val="1"/>
      <w:marLeft w:val="0"/>
      <w:marRight w:val="0"/>
      <w:marTop w:val="0"/>
      <w:marBottom w:val="0"/>
      <w:divBdr>
        <w:top w:val="none" w:sz="0" w:space="0" w:color="auto"/>
        <w:left w:val="none" w:sz="0" w:space="0" w:color="auto"/>
        <w:bottom w:val="none" w:sz="0" w:space="0" w:color="auto"/>
        <w:right w:val="none" w:sz="0" w:space="0" w:color="auto"/>
      </w:divBdr>
      <w:divsChild>
        <w:div w:id="1546529171">
          <w:marLeft w:val="0"/>
          <w:marRight w:val="0"/>
          <w:marTop w:val="0"/>
          <w:marBottom w:val="0"/>
          <w:divBdr>
            <w:top w:val="none" w:sz="0" w:space="0" w:color="auto"/>
            <w:left w:val="none" w:sz="0" w:space="0" w:color="auto"/>
            <w:bottom w:val="none" w:sz="0" w:space="0" w:color="auto"/>
            <w:right w:val="none" w:sz="0" w:space="0" w:color="auto"/>
          </w:divBdr>
          <w:divsChild>
            <w:div w:id="1678728157">
              <w:marLeft w:val="0"/>
              <w:marRight w:val="0"/>
              <w:marTop w:val="0"/>
              <w:marBottom w:val="0"/>
              <w:divBdr>
                <w:top w:val="none" w:sz="0" w:space="0" w:color="auto"/>
                <w:left w:val="none" w:sz="0" w:space="0" w:color="auto"/>
                <w:bottom w:val="none" w:sz="0" w:space="0" w:color="auto"/>
                <w:right w:val="none" w:sz="0" w:space="0" w:color="auto"/>
              </w:divBdr>
              <w:divsChild>
                <w:div w:id="2146043617">
                  <w:marLeft w:val="0"/>
                  <w:marRight w:val="0"/>
                  <w:marTop w:val="0"/>
                  <w:marBottom w:val="0"/>
                  <w:divBdr>
                    <w:top w:val="none" w:sz="0" w:space="0" w:color="auto"/>
                    <w:left w:val="none" w:sz="0" w:space="0" w:color="auto"/>
                    <w:bottom w:val="none" w:sz="0" w:space="0" w:color="auto"/>
                    <w:right w:val="none" w:sz="0" w:space="0" w:color="auto"/>
                  </w:divBdr>
                  <w:divsChild>
                    <w:div w:id="334117088">
                      <w:marLeft w:val="0"/>
                      <w:marRight w:val="0"/>
                      <w:marTop w:val="0"/>
                      <w:marBottom w:val="0"/>
                      <w:divBdr>
                        <w:top w:val="none" w:sz="0" w:space="0" w:color="auto"/>
                        <w:left w:val="none" w:sz="0" w:space="0" w:color="auto"/>
                        <w:bottom w:val="none" w:sz="0" w:space="0" w:color="auto"/>
                        <w:right w:val="none" w:sz="0" w:space="0" w:color="auto"/>
                      </w:divBdr>
                      <w:divsChild>
                        <w:div w:id="411663079">
                          <w:marLeft w:val="0"/>
                          <w:marRight w:val="0"/>
                          <w:marTop w:val="0"/>
                          <w:marBottom w:val="0"/>
                          <w:divBdr>
                            <w:top w:val="none" w:sz="0" w:space="0" w:color="auto"/>
                            <w:left w:val="none" w:sz="0" w:space="0" w:color="auto"/>
                            <w:bottom w:val="none" w:sz="0" w:space="0" w:color="auto"/>
                            <w:right w:val="none" w:sz="0" w:space="0" w:color="auto"/>
                          </w:divBdr>
                          <w:divsChild>
                            <w:div w:id="353842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patrimonio.mincultura.gov.co/fortalecimientodecapacidades/Paginas/default.aspx." TargetMode="External"/><Relationship Id="rId26" Type="http://schemas.openxmlformats.org/officeDocument/2006/relationships/hyperlink" Target="http://www.secretariasenado.gov.co/senado/basedoc/ley_0080_1993.html" TargetMode="External"/><Relationship Id="rId39" Type="http://schemas.openxmlformats.org/officeDocument/2006/relationships/fontTable" Target="fontTable.xml"/><Relationship Id="rId21" Type="http://schemas.openxmlformats.org/officeDocument/2006/relationships/hyperlink" Target="https://www.funcionpublica.gov.co/eva/gestornormativo/norma.php?i=4125" TargetMode="External"/><Relationship Id="rId34" Type="http://schemas.openxmlformats.org/officeDocument/2006/relationships/image" Target="media/image12.png"/><Relationship Id="rId42" Type="http://schemas.microsoft.com/office/2020/10/relationships/intelligence" Target="intelligence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www.funcionpublica.gov.co/eva/gestornormativo/norma.php?i=4125" TargetMode="External"/><Relationship Id="rId29" Type="http://schemas.openxmlformats.org/officeDocument/2006/relationships/image" Target="media/image7.png"/><Relationship Id="rId41"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funcionpublica.gov.co/eva/gestornormativo/norma.php?i=37032" TargetMode="External"/><Relationship Id="rId32" Type="http://schemas.openxmlformats.org/officeDocument/2006/relationships/image" Target="media/image10.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hyperlink" Target="https://www.funcionpublica.gov.co/eva/gestornormativo/norma.php?i=37032" TargetMode="External"/><Relationship Id="rId28" Type="http://schemas.openxmlformats.org/officeDocument/2006/relationships/image" Target="media/image6.png"/><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hyperlink" Target="https://www.funcionpublica.gov.co/eva/gestornormativo/norma.php?i=4125" TargetMode="Externa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hyperlink" Target="https://www.funcionpublica.gov.co/eva/gestornormativo/norma.php?i=4125"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yperlink" Target="https://patrimonio.mincultura.gov.co/Documents/convencionpolitica%20PCI.pdf" TargetMode="External"/><Relationship Id="rId17" Type="http://schemas.openxmlformats.org/officeDocument/2006/relationships/hyperlink" Target="https://ich.unesco.org/es/material-fortalecimiento-capacidades." TargetMode="External"/><Relationship Id="rId25" Type="http://schemas.openxmlformats.org/officeDocument/2006/relationships/hyperlink" Target="https://www.funcionpublica.gov.co/eva/gestornormativo/norma.php?i=37032" TargetMode="External"/><Relationship Id="rId33" Type="http://schemas.openxmlformats.org/officeDocument/2006/relationships/image" Target="media/image11.png"/><Relationship Id="rId38"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15.jpg"/><Relationship Id="rId1" Type="http://schemas.openxmlformats.org/officeDocument/2006/relationships/image" Target="media/image14.png"/></Relationships>
</file>

<file path=word/documenttasks/documenttasks1.xml><?xml version="1.0" encoding="utf-8"?>
<t:Tasks xmlns:t="http://schemas.microsoft.com/office/tasks/2019/documenttasks" xmlns:oel="http://schemas.microsoft.com/office/2019/extlst">
  <t:Task id="{4F8BFF64-B57A-4447-97B4-5ADFDEDE6536}">
    <t:Anchor>
      <t:Comment id="929810869"/>
    </t:Anchor>
    <t:History>
      <t:Event id="{C3F64ED5-D616-4FAC-8185-EC231CC6150C}" time="2025-06-11T15:58:51.056Z">
        <t:Attribution userId="S::jbenavides@mincultura.gov.co::915b831b-404c-408b-8dbb-b07883120bb8" userProvider="AD" userName="Juan David Benavides Sepulveda"/>
        <t:Anchor>
          <t:Comment id="2094874410"/>
        </t:Anchor>
        <t:Create/>
      </t:Event>
      <t:Event id="{AE6E9961-22C4-4A02-B97D-35E18E9EDA4A}" time="2025-06-11T15:58:51.056Z">
        <t:Attribution userId="S::jbenavides@mincultura.gov.co::915b831b-404c-408b-8dbb-b07883120bb8" userProvider="AD" userName="Juan David Benavides Sepulveda"/>
        <t:Anchor>
          <t:Comment id="2094874410"/>
        </t:Anchor>
        <t:Assign userId="S::druiz@mincultura.gov.co::04a69f9a-297c-4c3e-a895-d9beb0f9839a" userProvider="AD" userName="Diego Alejandro Ruiz Montaño"/>
      </t:Event>
      <t:Event id="{CA2C0E60-B123-4C83-AD29-95048BCD5969}" time="2025-06-11T15:58:51.056Z">
        <t:Attribution userId="S::jbenavides@mincultura.gov.co::915b831b-404c-408b-8dbb-b07883120bb8" userProvider="AD" userName="Juan David Benavides Sepulveda"/>
        <t:Anchor>
          <t:Comment id="2094874410"/>
        </t:Anchor>
        <t:SetTitle title="@Diego Alejandro Ruiz Montaño "/>
      </t:Event>
    </t:History>
  </t:Task>
  <t:Task id="{528E4C3D-8FE2-4817-A39D-B375F036CABF}">
    <t:Anchor>
      <t:Comment id="1523294901"/>
    </t:Anchor>
    <t:History>
      <t:Event id="{37892BEC-37AD-4A0A-839A-636067DE324D}" time="2025-06-11T15:59:21.595Z">
        <t:Attribution userId="S::jbenavides@mincultura.gov.co::915b831b-404c-408b-8dbb-b07883120bb8" userProvider="AD" userName="Juan David Benavides Sepulveda"/>
        <t:Anchor>
          <t:Comment id="425924384"/>
        </t:Anchor>
        <t:Create/>
      </t:Event>
      <t:Event id="{F044FD1B-855D-40D1-BEB5-95CAE5C5CABD}" time="2025-06-11T15:59:21.595Z">
        <t:Attribution userId="S::jbenavides@mincultura.gov.co::915b831b-404c-408b-8dbb-b07883120bb8" userProvider="AD" userName="Juan David Benavides Sepulveda"/>
        <t:Anchor>
          <t:Comment id="425924384"/>
        </t:Anchor>
        <t:Assign userId="S::druiz@mincultura.gov.co::04a69f9a-297c-4c3e-a895-d9beb0f9839a" userProvider="AD" userName="Diego Alejandro Ruiz Montaño"/>
      </t:Event>
      <t:Event id="{CF1EE8D8-5C1B-41A4-AA04-BBB2EB8F2B76}" time="2025-06-11T15:59:21.595Z">
        <t:Attribution userId="S::jbenavides@mincultura.gov.co::915b831b-404c-408b-8dbb-b07883120bb8" userProvider="AD" userName="Juan David Benavides Sepulveda"/>
        <t:Anchor>
          <t:Comment id="425924384"/>
        </t:Anchor>
        <t:SetTitle title="@Diego Alejandro Ruiz Montaño "/>
      </t:Event>
    </t:History>
  </t:Task>
  <t:Task id="{2D44EAB1-0CE2-4D2B-9514-A609DAF41B3F}">
    <t:Anchor>
      <t:Comment id="1661856044"/>
    </t:Anchor>
    <t:History>
      <t:Event id="{8DB04E69-78A6-4843-A5A8-A61ACC5934DF}" time="2025-06-11T16:00:36.974Z">
        <t:Attribution userId="S::jbenavides@mincultura.gov.co::915b831b-404c-408b-8dbb-b07883120bb8" userProvider="AD" userName="Juan David Benavides Sepulveda"/>
        <t:Anchor>
          <t:Comment id="936095962"/>
        </t:Anchor>
        <t:Create/>
      </t:Event>
      <t:Event id="{CF15F27A-4E99-4C3A-828B-F16FA1A18D40}" time="2025-06-11T16:00:36.974Z">
        <t:Attribution userId="S::jbenavides@mincultura.gov.co::915b831b-404c-408b-8dbb-b07883120bb8" userProvider="AD" userName="Juan David Benavides Sepulveda"/>
        <t:Anchor>
          <t:Comment id="936095962"/>
        </t:Anchor>
        <t:Assign userId="S::druiz@mincultura.gov.co::04a69f9a-297c-4c3e-a895-d9beb0f9839a" userProvider="AD" userName="Diego Alejandro Ruiz Montaño"/>
      </t:Event>
      <t:Event id="{CC7369D5-A29D-4D18-BD5A-B42C16863DD6}" time="2025-06-11T16:00:36.974Z">
        <t:Attribution userId="S::jbenavides@mincultura.gov.co::915b831b-404c-408b-8dbb-b07883120bb8" userProvider="AD" userName="Juan David Benavides Sepulveda"/>
        <t:Anchor>
          <t:Comment id="936095962"/>
        </t:Anchor>
        <t:SetTitle title="@Diego Alejandro Ruiz Montaño "/>
      </t:Event>
      <t:Event id="{9EF72214-EDC1-4CD4-80A0-4DC86133A6CC}" time="2025-07-01T23:32:25.474Z">
        <t:Attribution userId="S::mpolancoe@mincultura.gov.co::fdfce46d-f03b-45a5-8425-241c1dfcdf13" userProvider="AD" userName="Maria Magdalena Polanco Echeverry"/>
        <t:Progress percentComplete="100"/>
      </t:Event>
    </t:History>
  </t:Task>
  <t:Task id="{AA38B67A-2558-41DC-AF58-5FFC9176D8EF}">
    <t:Anchor>
      <t:Comment id="1609598507"/>
    </t:Anchor>
    <t:History>
      <t:Event id="{777AA686-3E02-418F-8984-84A91F06B5A3}" time="2025-06-11T15:58:42.046Z">
        <t:Attribution userId="S::jbenavides@mincultura.gov.co::915b831b-404c-408b-8dbb-b07883120bb8" userProvider="AD" userName="Juan David Benavides Sepulveda"/>
        <t:Anchor>
          <t:Comment id="509987992"/>
        </t:Anchor>
        <t:Create/>
      </t:Event>
      <t:Event id="{89A4FD9E-7A9A-42D6-A656-12496735BB26}" time="2025-06-11T15:58:42.046Z">
        <t:Attribution userId="S::jbenavides@mincultura.gov.co::915b831b-404c-408b-8dbb-b07883120bb8" userProvider="AD" userName="Juan David Benavides Sepulveda"/>
        <t:Anchor>
          <t:Comment id="509987992"/>
        </t:Anchor>
        <t:Assign userId="S::druiz@mincultura.gov.co::04a69f9a-297c-4c3e-a895-d9beb0f9839a" userProvider="AD" userName="Diego Alejandro Ruiz Montaño"/>
      </t:Event>
      <t:Event id="{4DACBA7B-F38D-4AE4-8AFD-D1A404BF8CD3}" time="2025-06-11T15:58:42.046Z">
        <t:Attribution userId="S::jbenavides@mincultura.gov.co::915b831b-404c-408b-8dbb-b07883120bb8" userProvider="AD" userName="Juan David Benavides Sepulveda"/>
        <t:Anchor>
          <t:Comment id="509987992"/>
        </t:Anchor>
        <t:SetTitle title="@Diego Alejandro Ruiz Montaño "/>
      </t:Event>
      <t:Event id="{785929C1-96FC-4693-AACB-E323E1D09896}" time="2025-07-01T23:28:10.764Z">
        <t:Attribution userId="S::mpolancoe@mincultura.gov.co::fdfce46d-f03b-45a5-8425-241c1dfcdf13" userProvider="AD" userName="Maria Magdalena Polanco Echeverry"/>
        <t:Progress percentComplete="100"/>
      </t:Event>
    </t:History>
  </t:Task>
  <t:Task id="{29A172CF-96BA-4EF0-8028-645FF722168F}">
    <t:Anchor>
      <t:Comment id="781606329"/>
    </t:Anchor>
    <t:History>
      <t:Event id="{D472141A-ED5A-4D0F-995F-0FC0DA48981D}" time="2025-06-11T15:59:40.438Z">
        <t:Attribution userId="S::jbenavides@mincultura.gov.co::915b831b-404c-408b-8dbb-b07883120bb8" userProvider="AD" userName="Juan David Benavides Sepulveda"/>
        <t:Anchor>
          <t:Comment id="1418433539"/>
        </t:Anchor>
        <t:Create/>
      </t:Event>
      <t:Event id="{F1C914D9-B876-4326-91B3-7642A043965F}" time="2025-06-11T15:59:40.438Z">
        <t:Attribution userId="S::jbenavides@mincultura.gov.co::915b831b-404c-408b-8dbb-b07883120bb8" userProvider="AD" userName="Juan David Benavides Sepulveda"/>
        <t:Anchor>
          <t:Comment id="1418433539"/>
        </t:Anchor>
        <t:Assign userId="S::druiz@mincultura.gov.co::04a69f9a-297c-4c3e-a895-d9beb0f9839a" userProvider="AD" userName="Diego Alejandro Ruiz Montaño"/>
      </t:Event>
      <t:Event id="{8673426D-ABFC-4A18-9B0D-838BC302E285}" time="2025-06-11T15:59:40.438Z">
        <t:Attribution userId="S::jbenavides@mincultura.gov.co::915b831b-404c-408b-8dbb-b07883120bb8" userProvider="AD" userName="Juan David Benavides Sepulveda"/>
        <t:Anchor>
          <t:Comment id="1418433539"/>
        </t:Anchor>
        <t:SetTitle title="@Diego Alejandro Ruiz Montaño "/>
      </t:Event>
    </t:History>
  </t:Task>
  <t:Task id="{5DD84E18-0B11-4F6C-A62E-BE5F1E86FFEB}">
    <t:Anchor>
      <t:Comment id="395794141"/>
    </t:Anchor>
    <t:History>
      <t:Event id="{DCCB8A68-2BC3-4CD1-99DC-CBC0847A36F8}" time="2025-06-11T15:59:08.462Z">
        <t:Attribution userId="S::jbenavides@mincultura.gov.co::915b831b-404c-408b-8dbb-b07883120bb8" userProvider="AD" userName="Juan David Benavides Sepulveda"/>
        <t:Anchor>
          <t:Comment id="916502088"/>
        </t:Anchor>
        <t:Create/>
      </t:Event>
      <t:Event id="{A1E620F6-7054-42E8-86CF-05A8F7C84D9A}" time="2025-06-11T15:59:08.462Z">
        <t:Attribution userId="S::jbenavides@mincultura.gov.co::915b831b-404c-408b-8dbb-b07883120bb8" userProvider="AD" userName="Juan David Benavides Sepulveda"/>
        <t:Anchor>
          <t:Comment id="916502088"/>
        </t:Anchor>
        <t:Assign userId="S::druiz@mincultura.gov.co::04a69f9a-297c-4c3e-a895-d9beb0f9839a" userProvider="AD" userName="Diego Alejandro Ruiz Montaño"/>
      </t:Event>
      <t:Event id="{86C175BF-4085-40EF-8682-4BC9C3D8AAF9}" time="2025-06-11T15:59:08.462Z">
        <t:Attribution userId="S::jbenavides@mincultura.gov.co::915b831b-404c-408b-8dbb-b07883120bb8" userProvider="AD" userName="Juan David Benavides Sepulveda"/>
        <t:Anchor>
          <t:Comment id="916502088"/>
        </t:Anchor>
        <t:SetTitle title="@Diego Alejandro Ruiz Montaño "/>
      </t:Event>
    </t:History>
  </t:Task>
</t:Task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o" ma:contentTypeID="0x0101006BB0C6F7DA559B4D824E1E3189395C15" ma:contentTypeVersion="0" ma:contentTypeDescription="Crear nuevo documento." ma:contentTypeScope="" ma:versionID="9d60c1eeb727513aabd240ec51076a8b">
  <xsd:schema xmlns:xsd="http://www.w3.org/2001/XMLSchema" xmlns:xs="http://www.w3.org/2001/XMLSchema" xmlns:p="http://schemas.microsoft.com/office/2006/metadata/properties" xmlns:ns2="60fb40b8-e1cd-471d-95f3-dc76ccb1d09d" targetNamespace="http://schemas.microsoft.com/office/2006/metadata/properties" ma:root="true" ma:fieldsID="f2ec2df323c749dbc2132eb0829fce48" ns2:_="">
    <xsd:import namespace="60fb40b8-e1cd-471d-95f3-dc76ccb1d09d"/>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fb40b8-e1cd-471d-95f3-dc76ccb1d09d" elementFormDefault="qualified">
    <xsd:import namespace="http://schemas.microsoft.com/office/2006/documentManagement/types"/>
    <xsd:import namespace="http://schemas.microsoft.com/office/infopath/2007/PartnerControls"/>
    <xsd:element name="_dlc_DocId" ma:index="8" nillable="true" ma:displayName="Valor de Id. de documento" ma:description="El valor del identificador de documento asignado a este elemento." ma:internalName="_dlc_DocId" ma:readOnly="true">
      <xsd:simpleType>
        <xsd:restriction base="dms:Text"/>
      </xsd:simpleType>
    </xsd:element>
    <xsd:element name="_dlc_DocIdUrl" ma:index="9"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Identificador persistente" ma:description="Mantener el identificador al agregar."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B5CB48C-313A-4963-B2BC-C520DB7917FE}">
  <ds:schemaRefs>
    <ds:schemaRef ds:uri="http://schemas.microsoft.com/sharepoint/events"/>
  </ds:schemaRefs>
</ds:datastoreItem>
</file>

<file path=customXml/itemProps2.xml><?xml version="1.0" encoding="utf-8"?>
<ds:datastoreItem xmlns:ds="http://schemas.openxmlformats.org/officeDocument/2006/customXml" ds:itemID="{605BBAA3-19DC-4E4A-88AC-FFAF4701C595}">
  <ds:schemaRefs>
    <ds:schemaRef ds:uri="http://schemas.microsoft.com/sharepoint/v3/contenttype/forms"/>
  </ds:schemaRefs>
</ds:datastoreItem>
</file>

<file path=customXml/itemProps3.xml><?xml version="1.0" encoding="utf-8"?>
<ds:datastoreItem xmlns:ds="http://schemas.openxmlformats.org/officeDocument/2006/customXml" ds:itemID="{E553C48E-0616-44FE-B815-F287A79639B5}">
  <ds:schemaRefs>
    <ds:schemaRef ds:uri="http://schemas.openxmlformats.org/officeDocument/2006/bibliography"/>
  </ds:schemaRefs>
</ds:datastoreItem>
</file>

<file path=customXml/itemProps4.xml><?xml version="1.0" encoding="utf-8"?>
<ds:datastoreItem xmlns:ds="http://schemas.openxmlformats.org/officeDocument/2006/customXml" ds:itemID="{5B02CB17-1089-4FDA-A469-7539D24FC60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01EE0244-BB32-4990-A3F5-B358343053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fb40b8-e1cd-471d-95f3-dc76ccb1d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32</Pages>
  <Words>13151</Words>
  <Characters>72334</Characters>
  <Application>Microsoft Office Word</Application>
  <DocSecurity>0</DocSecurity>
  <Lines>602</Lines>
  <Paragraphs>170</Paragraphs>
  <ScaleCrop>false</ScaleCrop>
  <Company/>
  <LinksUpToDate>false</LinksUpToDate>
  <CharactersWithSpaces>85315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EDWIN ROMERO ROMERO</cp:lastModifiedBy>
  <cp:revision>28</cp:revision>
  <cp:lastPrinted>2025-03-27T20:42:00Z</cp:lastPrinted>
  <dcterms:created xsi:type="dcterms:W3CDTF">2025-12-16T14:13:00Z</dcterms:created>
  <dcterms:modified xsi:type="dcterms:W3CDTF">2026-05-12T23:59:00Z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0x0101006BB0C6F7DA559B4D824E1E3189395C15</vt:lpwstr>
  </property>
</Properties>
</file>